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4707B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707B0" w:rsidRDefault="00256833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4707B0" w:rsidRDefault="00256833">
            <w:pPr>
              <w:spacing w:after="0" w:line="240" w:lineRule="auto"/>
            </w:pPr>
            <w:r>
              <w:t>30865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707B0" w:rsidRDefault="0025683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4707B0" w:rsidRDefault="00256833">
            <w:pPr>
              <w:spacing w:after="0" w:line="240" w:lineRule="auto"/>
            </w:pPr>
            <w:r>
              <w:t>OPĆINA MALINSKA - DUBAŠNICA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707B0" w:rsidRDefault="0025683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4707B0" w:rsidRDefault="00256833">
            <w:pPr>
              <w:spacing w:after="0" w:line="240" w:lineRule="auto"/>
            </w:pPr>
            <w:r>
              <w:t>22</w:t>
            </w:r>
          </w:p>
        </w:tc>
      </w:tr>
    </w:tbl>
    <w:p w:rsidR="004707B0" w:rsidRDefault="00256833">
      <w:r>
        <w:br/>
      </w:r>
    </w:p>
    <w:p w:rsidR="004707B0" w:rsidRDefault="0025683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4707B0" w:rsidRDefault="00256833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4707B0" w:rsidRDefault="00256833">
      <w:pPr>
        <w:spacing w:line="240" w:lineRule="auto"/>
        <w:jc w:val="center"/>
      </w:pPr>
      <w:r>
        <w:rPr>
          <w:b/>
          <w:sz w:val="28"/>
        </w:rPr>
        <w:t>I - III 2026.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1.267.737,94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1.433.734,32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898.420,99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1.075.133,80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119,7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4707B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369.316,95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358.600,52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97,1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5.237,40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</w:t>
            </w:r>
            <w:r>
              <w:rPr>
                <w:sz w:val="18"/>
              </w:rPr>
              <w:t>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595.330,95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940.669,68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158,0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4707B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595.280,45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935.432,28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157,1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169.370,11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50.039,01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29,5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4707B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169.370,11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50.039,01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29,5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4707B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395.333,61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626.870,77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158,6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Ukupni prihodi poslovanja iznose 1.433.734,32 EUR, te je iz izvješća razvidno da bilježimo uvećanje od 13% u odnosu na prethodnu godinu. Unutar prihoda poslovanja bilježimo uvećanje prihoda od poreza te prihoda od prodaje proizvoda i roba te pruženih uslug</w:t>
      </w:r>
      <w:r>
        <w:t>a, prihoda od donacija, te povrati po protestiranim jamstvima. Umanjenje bilježimo na pozicijama pomoćima iz inozemstva i od sustava unutar općeg proračuna, prihoda od imovine, prihoda od upravnih, admini</w:t>
      </w:r>
      <w:r w:rsidR="00787C9D">
        <w:t>s</w:t>
      </w:r>
      <w:r>
        <w:t>trativnih pristojbi, pristojbi po posebnim propisima</w:t>
      </w:r>
      <w:r>
        <w:t xml:space="preserve"> i naknada. Do uvećanja prihoda od poreza došlo je zbog veće naplate poreza na dohodak od nesamostalnog rada,</w:t>
      </w:r>
      <w:r w:rsidR="00787C9D">
        <w:t xml:space="preserve"> </w:t>
      </w:r>
      <w:r>
        <w:lastRenderedPageBreak/>
        <w:t>poreza na dohodak od imovine i imovinskih prava te poreza na dohodak od kapitala. Također bilježimo uvećanje na poziciji povremenih poreza na im</w:t>
      </w:r>
      <w:r>
        <w:t>ovinu do kojeg je došlo zbog veće prodaje nekretnina na području Općine Malinska - Dubašnica. Umanjenje bilježimo na poziciji kapitalnih pomoći proračunu i izvanproračunskim korisnicima iz drugih proračuna. U 2025. godini ostvarili smo kapitalnu pomoć iz d</w:t>
      </w:r>
      <w:r>
        <w:t>ržavnog proračuna za uređenje igrališta i za sufinanciranje provedbe EU projekta (JPF.20210.6.497), dok u 2026. godini u izvještajnom razdoblju iste nismo ostvarili.</w:t>
      </w:r>
    </w:p>
    <w:p w:rsidR="004707B0" w:rsidRDefault="00256833">
      <w:r>
        <w:t>Ukupni rashodi poslovanja iznose 1.075.133,80 EUR, te bilježe uvećanje od 19,7% u odnosu n</w:t>
      </w:r>
      <w:r>
        <w:t>a prethodnu godinu. Povećanje bilježimo na poziciji rashoda za zaposlene što jednim dijelom proizlazi zbog povećanja broja zaposlenih, zatim materijalnih rashoda, i rashoda za pomoći unutar općeg proračuna, a većinom zbog većih cijena radova, roba i usluga</w:t>
      </w:r>
      <w:r>
        <w:t xml:space="preserve"> na tržištu.</w:t>
      </w:r>
    </w:p>
    <w:p w:rsidR="004707B0" w:rsidRDefault="00256833">
      <w:r>
        <w:t>Iz navedenog proizlazi da je ostvaren višak prihoda poslovanja u iznosu od 358.600,52 EUR kojim su se djelomično financirali rashodi za nabavu nefinancijske imovine te izdaci za financijsku imovinu i otplate zajmova.</w:t>
      </w:r>
    </w:p>
    <w:p w:rsidR="004707B0" w:rsidRDefault="00256833">
      <w:r>
        <w:t xml:space="preserve">Ukupni prihodi od prodaje </w:t>
      </w:r>
      <w:r>
        <w:t xml:space="preserve">nefinancijske imovine iznose 5.237,40 EUR, te bilježe nominalno uvećanje od 5.186,90 EUR, do kojeg dolazi zbog </w:t>
      </w:r>
      <w:r w:rsidR="00787C9D">
        <w:t>većeg</w:t>
      </w:r>
      <w:r>
        <w:t xml:space="preserve"> obima prodaje zemljišta u vlasništvu Općine. S druge strane ukupni rashodi za nabavu nefinancijske imovine bilježe uvećanje od 58%, a naved</w:t>
      </w:r>
      <w:r>
        <w:t>eno uvećanje se najvećim dijelom odnosi na projekt izgradnje vatrogasnog doma u Malinskoj. Ostvaren je manjak prihoda od nefinancijske imovine u iznosu od 935.432,28 EUR.</w:t>
      </w:r>
    </w:p>
    <w:p w:rsidR="004707B0" w:rsidRDefault="00256833">
      <w:r>
        <w:t xml:space="preserve">Primitaka od nefinancijske imovine u izvještajnom razdoblju nije bilo, dok izdaci za </w:t>
      </w:r>
      <w:r>
        <w:t>financijsku imovinu i otplate zajmova iznose 50.039,01 EUR. Navedeno se odnosi na povećanje temeljnog kapitala trgovačkog društva Ponikve voda d.o.o., a vezano za projekte izgradnje fekalne kanalizacije i vodovoda na području Općine. </w:t>
      </w:r>
    </w:p>
    <w:p w:rsidR="004707B0" w:rsidRDefault="00256833">
      <w:r>
        <w:t>U izvještajnom razdob</w:t>
      </w:r>
      <w:r>
        <w:t>lju ostvaren je manjak prihoda i primitaka u iznosu od 626.870,77 EUR, dok preneseni višak prihoda i primitaka iz prethodne godine iznosi 124.123,27EUR. Iz navedenog proizlazi da je u ovom izvještajnom razdoblju ostvaren manjak prihoda i primitaka raspolož</w:t>
      </w:r>
      <w:r>
        <w:t>iv u slijedećem razdoblju 502.747,50 EUR. </w:t>
      </w:r>
    </w:p>
    <w:p w:rsidR="004707B0" w:rsidRDefault="00256833">
      <w:r>
        <w:br/>
      </w:r>
    </w:p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1.267.737,94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1.433.734,32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Ukupni prihodi poslovanja iznose 1.433.734,32 EUR te bilježe uvećanje od 13,1% u odnosu na prethodnu godinu. Unutar prihoda poslovanja bilježimo uvećanje prihoda od poreza te prihoda od prodaje proizvoda i roba te pruženih usluga, prihoda od donacija, te p</w:t>
      </w:r>
      <w:r>
        <w:t>ovrati po protestiranim jamstvima. Umanjenje bilježimo na pozicijama pomoćima iz inozemstva i od sustava unutar općeg proračuna, prihoda od imovine, prihoda od upravnih, admini</w:t>
      </w:r>
      <w:r w:rsidR="00787C9D">
        <w:t>s</w:t>
      </w:r>
      <w:r>
        <w:t>trativnih pristojbi, pristojbi po posebnim propisima i naknada. 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</w:t>
            </w:r>
            <w:r>
              <w:rPr>
                <w:b/>
                <w:sz w:val="18"/>
              </w:rPr>
              <w:t xml:space="preserve">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659.971,48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860.469,40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130,4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Porez na dohodak iznosi 860.469,40 EUR, te bilježi uvećanje od 30,4% u odnosu na prethodnu godinu. Znatno uvećanje imamo kod poreza na dohodak od nesamostalnog rada zbog povećanja plaća u javnom i privatnom sektoru, zatim poreza na dohodak od imovine i imo</w:t>
      </w:r>
      <w:r>
        <w:t>vinskih prava te poreza na dohodak od kapitala. </w:t>
      </w:r>
    </w:p>
    <w:p w:rsidR="004707B0" w:rsidRDefault="00256833">
      <w:r>
        <w:t> 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Porezi na imovinu (šifre 6131 do </w:t>
            </w:r>
            <w:r>
              <w:rPr>
                <w:sz w:val="18"/>
              </w:rPr>
              <w:t>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182.360,68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389.355,45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213,5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Porezi na imovinu bilježe uvećanje od 113,5%. Uvećanje imamo na poziciji stalnih poreza na nepokretnu imovinu u koje nam spadaju porez na kuće za odmor, porez na korištenje javnih površina te porez na nekretnine. Također i povremeni porezi na imovinu bilje</w:t>
      </w:r>
      <w:r>
        <w:t>že uvećanje i to 107%, a koji se odnosi porez na promet nekretnina. Nakon prošlogodišnjeg usporavanja tržišta nekretnina, tekuća godina donosi pozitivan trend i rast prodaje.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52.281,39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119.430,44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228,4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 xml:space="preserve">Stalni porezi na nepokretnu imovinu bilježe uvećanje od 128,4% u odnosu na prethodnu godinu. U navedene poreze spadaju nam porez na kuće za odmor, porez na korištenje javnih površina te porez na nekretnine. Do uvećanja dolazi zbog većeg broja korisnika te </w:t>
      </w:r>
      <w:r>
        <w:t>bolje naplate. Krajem 2025. godine izdane su ovrhe za dugove za porez na kuće za odmor, te su značajnije uplate izvršene u 2026.g.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130.079,29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269.925,01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207,5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Povremeni porezi na imovinu bilježe uvećanje od 107,5%. U navedene poreze spada porez na promet nekretnina. Nakon prošlogodišnjeg usporavanja tržišta nekretnina, tekuća godina donosi pozitivan trend i rast prodaje.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</w:t>
            </w:r>
            <w:r>
              <w:rPr>
                <w:b/>
                <w:sz w:val="18"/>
              </w:rPr>
              <w:t>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iz inozemstva i od subjekata unutar općeg proračuna (šifre </w:t>
            </w:r>
            <w:r>
              <w:rPr>
                <w:sz w:val="18"/>
              </w:rPr>
              <w:t>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136.034,06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Pomoći iz inozemstva i od subjekata unutar općeg proračuna nisu ostvarene u ovom izvještajnom razdoblju, dok je prethodne godine ostvareno 136.034,06 EUR.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136.034,06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 U izvještajnom razdoblju za 2026. godinu nisu ostvareni navedene pomoći dok su prethodne godine ostvarene Kapitalne pomoći proračunu iz drugih proračuna koje su se odnosile na projekte:</w:t>
      </w:r>
    </w:p>
    <w:p w:rsidR="004707B0" w:rsidRDefault="00256833">
      <w:r>
        <w:t>•         zamjene umjetne trave na nogometnom igralištu - 45.000 EUR</w:t>
      </w:r>
    </w:p>
    <w:p w:rsidR="004707B0" w:rsidRDefault="00256833">
      <w:r>
        <w:t xml:space="preserve">•         </w:t>
      </w:r>
      <w:proofErr w:type="spellStart"/>
      <w:r>
        <w:t>ug</w:t>
      </w:r>
      <w:proofErr w:type="spellEnd"/>
      <w:r>
        <w:t>. o sufinanciranju provedbe EU projekta (JPF.20210.6.497) prikupljanja, odvodnje i pročišćavanja otpadnih voda - 91.034 EUR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</w:t>
            </w:r>
            <w:r>
              <w:rPr>
                <w:b/>
                <w:sz w:val="18"/>
              </w:rPr>
              <w:t>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84.864,48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34.161,99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40,3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lastRenderedPageBreak/>
        <w:t>Prihodi od imovine bilježe umanjenje od 60%. Značajnije umanjenje imamo na poziciji prihoda od zakupa i iznajmljivanja imovine. 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84.864,48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34.161,99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40,3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Do odstupanja u prihodima došlo je zbog različitih termina raspisivanja natječaja za zakup javnih površina. Budući da je prošlogodišnji natječaj realiziran ranije, uplate su proknjižene u ranijem dijelu godine, dok će se ovogodišnji prihodi realizirati u n</w:t>
      </w:r>
      <w:r>
        <w:t>arednom razdoblju.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84.513,11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29.345,51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34,7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Do odstupanja u prihodima došlo je zbog različitih termina raspisivanja natječaja za zakup javnih površina. Budući da je prošlogodišnji natječaj realiziran ranije, uplate su proknjižene u ranijem dijelu godine, dok će se ovogodišnji prihodi realizirati u n</w:t>
      </w:r>
      <w:r>
        <w:t>arednom razdoblju.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2.373,02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Naknada za korištenje nefinancijske imovine bilježi nominalno uvećanje od 2.370,31 EUR. U 2026. godini ostvareni su prihodi od naknade za promjenu namjene poljoprivrednog u građevinsko zemljište.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8.093,02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11.852,51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146,5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lastRenderedPageBreak/>
        <w:t>Prihodi po posebnim propisima bilježe uvećanje od 46,5%. Najveće povećanje odnosi se na ostale nespomenute prihode u koje spadaju refundacije troškova te prihodi s naslova osiguranja, refundacije štete i totalne štete. Općina Malinska - Dubašnica vrši refu</w:t>
      </w:r>
      <w:r>
        <w:t xml:space="preserve">ndacije troškova struje i vode zakupcima poslovnih prostora te korisnicima javnih površina te režijske troškove sportske dvorane. U odnosu na prethodnu godinu uvećanje pozicije se odnosi na ostvaren prihod s naslova osiguranja, refundacije štete i totalne </w:t>
      </w:r>
      <w:r>
        <w:t>štete u visini od 3.998,09 EUR.</w:t>
      </w:r>
      <w:r>
        <w:br/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85.274,35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64.206,31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75,3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Komunalni doprinosi bilježe umanjenje od 25%. Smanjenje prihoda od naplate u tekućem razdoblju posljedica je smanjenja broja aktivnih dužnika u odnosu na prethodnu godinu.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85.534,73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42.614,79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49,8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Komunalna naknada bilježi umanjenje od 50%. Naplata potraživanja po osnovi komunalne naknade u 2025. godini obuhvaća i značajan udio ovršenih sredstava iniciranih krajem 2024. godine, s toga je naplata u prvom kvartalu 2026. znatno manja u odnosu na 2025.g</w:t>
      </w:r>
      <w:r>
        <w:t>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1.380,61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7.046,67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510,4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 xml:space="preserve">Prihodi od pruženih usluga (ŠIFRA 6615) u ovom izvještajnom razdoblju ostvareni su u iznosu od 7.046,67 EUR što predstavlja uvećanje od 410,4% u odnosu na prethodnu godinu u istom razdoblju. Ostvarenje na Prihodima od pruženih usluga odnosi se na uplaćenu </w:t>
      </w:r>
      <w:r>
        <w:t>naknadu Hrvatskih voda za usluge naplate prihoda naknade za uređenje voda. U prvom kvartalu uplaćena je naknada za prosinac 2025.g. te siječanj 2026.g. 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 za prometne i ostale prekršaje u nadležnosti MUP-a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4.515,01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2.783,27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61,6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Kazne za prometne i ostale prekršaje bilježe umanjenje od 38,4%. Početkom 2025.g. pokrenute su prisilne naplate za starija dugovanja te je i naplata bila veća u odnosu na ovo izvještajno razdoblje.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898.420,99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1.075.133,80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119,7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Rashodi poslovanja bilježe uvećanje od 19,7%. Uvećanje bilježe rashodi za zaposlene, materijalni rashodi, subvencije, pomoći dane u inozemstvo i unutar općeg proračuna te rashodi za donacije, kazne , naknade štete i kapitalni pomoći. Uvećanje se najvećim d</w:t>
      </w:r>
      <w:r>
        <w:t>ijelom odnosi na veće cijene usluga, roba i radova u odnosu na prethodnu godinu.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165.197,71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194.439,42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117,7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Do rasta rashoda za zaposlene došlo je zbog povećanja ukupnog broja zaposlenika u odnosu na prethodno razdoblje.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</w:t>
            </w:r>
            <w:r>
              <w:rPr>
                <w:b/>
                <w:sz w:val="18"/>
              </w:rPr>
              <w:t>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4.821,20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7.489,99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155,4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 xml:space="preserve">Ostali rashodi za zaposlene bilježe uvećanje od 55,4%. U 2026. godini isplaćene su </w:t>
      </w:r>
      <w:proofErr w:type="spellStart"/>
      <w:r>
        <w:t>uskrsnice</w:t>
      </w:r>
      <w:proofErr w:type="spellEnd"/>
      <w:r>
        <w:t xml:space="preserve"> za 20 djelatnika Općine.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44.615,76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29.752,78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66,7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Rashodi za materijal i energiju bilježe umanjenje od 33,3%. Umanjenje bilježimo na poziciji uredskog materijala i ostalih materijalnih rashoda. 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</w:t>
            </w:r>
            <w:r>
              <w:rPr>
                <w:b/>
                <w:sz w:val="18"/>
              </w:rPr>
              <w:t>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13.103,73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3.600,17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27,5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Usluge telefona, interneta, pošte i prijevoza bilježe umanjenje od 72,5%. Umanjenje bilježimo na poziciji poštanskih usluga. Viši troškovi pošte u prošloj godini izravna su posljedica pravovremene distribucije uplatnica za komunalnu naknadu i naknadu za ur</w:t>
      </w:r>
      <w:r>
        <w:t>eđenje voda, čime je cjelokupan trošak otpreme proknjižen u ranijem dijelu godine. 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117.570,79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147.179,20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125,2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Usluge tekućeg i investicijskog održavanja bilježe uvećanje od 25%. Najvećim dijelom uvećanje se odnosi na održavanje zelenih površina te održavanje komunalne opreme, a sve uslijed povećanja cijena usluga. 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</w:t>
            </w:r>
            <w:r>
              <w:rPr>
                <w:b/>
                <w:sz w:val="18"/>
              </w:rPr>
              <w:t>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20.053,56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30.607,79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152,6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Komunalne usluge bilježe uvećanje od 52,6%. Najvećim dijelom uvećanje se odnosi na održavanje čistoće javnih površina.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3.690,00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973,93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26,4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Zdravstvene i veterinarske usluge bilježe umanjenje od 73,6%. Umanjenje bilježimo na poziciji veterinarskih usluga. U izvještajnom razdoblju nismo zaprimili fakturu za navedene usluge.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2.639,27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2.117,04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80,2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Financijski rashodi  manji su u odnosu na prethodnu godinu za 20 %, a umanjenje se odnosi na umanjenje kamata za primljene kredite od kreditnih i ostalih financijskih institucija u javnom sektoru. Navedeno se odnosi na kamatu koju plaćamo po kreditu za izg</w:t>
      </w:r>
      <w:r>
        <w:t xml:space="preserve">radnju interpretacijskog centra u Malinskoj, te za rekonstrukciju javne rasvjete na području Malinske - </w:t>
      </w:r>
      <w:proofErr w:type="spellStart"/>
      <w:r>
        <w:t>Dubašnice</w:t>
      </w:r>
      <w:proofErr w:type="spellEnd"/>
      <w:r>
        <w:t>. Zatezne kamate bilježe umanjenje u odnosu na prethodnu godinu.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(šifre 351+352+353)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Subvencije bilježe nominalno povećanje od 1.016,00 EUR. Odnose se na subvencije poljoprivrednicima za podizanje nasada, te subvencije ugostiteljima na području Općine u vidu sufinanciranja troškova poreza na javne površine (terase). Tijekom 2026. godine di</w:t>
      </w:r>
      <w:r>
        <w:t>o planiranih subvencija isplaćen je u ranijem ciklusu, što se odražava na trenutnu razinu izvršenja proračuna.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drugom proračunu i izvanproračunskim korisnicima (šifre 3631 do 3636)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73.539,78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lastRenderedPageBreak/>
        <w:t>Pomoći drugom proračunu i izvanproračunskim korisnicima bilježe nominalno uvećanje od 73.539,78 EUR. Odnose se na: </w:t>
      </w:r>
    </w:p>
    <w:p w:rsidR="004707B0" w:rsidRDefault="00256833">
      <w:pPr>
        <w:pStyle w:val="Odlomakpopisa"/>
        <w:numPr>
          <w:ilvl w:val="0"/>
          <w:numId w:val="1"/>
        </w:numPr>
      </w:pPr>
      <w:r>
        <w:t>izradu projektne dokumentacije za projekt navodnjavanja Polja Dubašnica</w:t>
      </w:r>
    </w:p>
    <w:p w:rsidR="004707B0" w:rsidRDefault="00256833">
      <w:pPr>
        <w:pStyle w:val="Odlomakpopisa"/>
        <w:numPr>
          <w:ilvl w:val="0"/>
          <w:numId w:val="1"/>
        </w:numPr>
      </w:pPr>
      <w:r>
        <w:t>Sufinanciranje sanacije dijela ceste u poslovnoj zoni Sveti Vid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</w:t>
      </w:r>
      <w:r>
        <w:rPr>
          <w:sz w:val="28"/>
        </w:rPr>
        <w:t>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46.704,13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124.125,24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265,8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Tekuće donacije u novcu bilježe uvećanje od 165,8%. U usporedbi s prethodnim razdobljem, kada su isplate realizirane u kasnijim terminima, u ovoj su godini donacije udrugama isplaćivane u većem obujmu u ovom izvještajnom razdoblju.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>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neprofitnim organizacijama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42.333,55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Kapitalne donacije neprofitnim organizacijama bilježe nominalno uvećanje od 42.333,55 EUR. Isplaćena je donacija Županijskoj lučkoj upravi za sanaciju obalnog zida i partera te uređenje Jaza na području OB4b.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</w:t>
            </w:r>
            <w:r>
              <w:rPr>
                <w:b/>
                <w:sz w:val="18"/>
              </w:rPr>
              <w:t>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1.361.077,01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2.323.832,63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170,7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 xml:space="preserve">Povećanje se odnosi na kapitalne pomoći iz državnog </w:t>
      </w:r>
      <w:proofErr w:type="spellStart"/>
      <w:r>
        <w:t>pror</w:t>
      </w:r>
      <w:proofErr w:type="spellEnd"/>
      <w:r>
        <w:t>. temeljem prijenosa EU sredstava- Vatrogasni dom. Radi se od trećem ZNS-u čiju isplatu očekujemo početkom travnja 2026. godine.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5.237,40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U 2026.g. prodana su dva zemljišta u vlasništvu Općine u visini 5.186,90 EUR.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595.330,95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940.669,68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158,0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Rashodi za nabavu nefinancijske imovine bilježe uvećanje od 58%. Najznačajnije uvećanje bilježimo na poziciji poslovnih objekata, a radi se o projektu izgradnje vatrogasnog doma.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18.690,00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Pozicija zemljište bilježi nominalno uvećanje od 18.690,00 EUR. Naime Općina je otkupila dva zemljišta u svrhu formiranja prometnica.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prava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101.970,90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Općina je krajem 2025. godine krenula u realizaciju projekta uređenja obalnog dijela, koji će se odvijati u više faza. Trenutno se vrši sanacija obalnog zida i partera te uređenje Jaza na području OB4b.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lastRenderedPageBreak/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345.838,04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658.571,47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190,4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Poslovni objekti bilježe uvećanje od 90,4%, a odnose se na rashode vezane za izgradnju vatrogasnog doma čija je gradnja započela u siječnju 2025.g.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59.259,35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15.707,55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26,5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Ceste, željeznice i ostali prometni objekti bilježe umanjenje od 73,5%. U prethodnoj godini u mjesecu siječnju vršili smo radove vezane uz izgradnju nogostupa kod autobusne stanice u Zidarić.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131.216,87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14.181,11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10,8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 xml:space="preserve">Ostali građevinski objekti bilježe umanjenje od 89,2% u odnosu na prethodnu godinu. Tijekom protekle godine, najveći dio rashoda odnosio se na kapitalne projekte izgradnje oborinske kanalizacije u ulici </w:t>
      </w:r>
      <w:proofErr w:type="spellStart"/>
      <w:r>
        <w:t>Pavus</w:t>
      </w:r>
      <w:proofErr w:type="spellEnd"/>
      <w:r>
        <w:t xml:space="preserve"> (dionice OU 39 i 40) te izgradnju </w:t>
      </w:r>
      <w:proofErr w:type="spellStart"/>
      <w:r>
        <w:t>upojne</w:t>
      </w:r>
      <w:proofErr w:type="spellEnd"/>
      <w:r>
        <w:t xml:space="preserve"> retenc</w:t>
      </w:r>
      <w:r>
        <w:t xml:space="preserve">ije UR-3 na lokaciji </w:t>
      </w:r>
      <w:proofErr w:type="spellStart"/>
      <w:r>
        <w:t>Grdine</w:t>
      </w:r>
      <w:proofErr w:type="spellEnd"/>
      <w:r>
        <w:t>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23.118,38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9.472,59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41,0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Na navedenoj poziciji bilježimo umanjenje od 59%. Prethodne godine nabavljala se mreža na igralištu u Bogovićima te se panelom ogradom ograđivalo igralište za pse u Bogovićima.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lastRenderedPageBreak/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22.438,93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121.601,06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541,9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 xml:space="preserve">Dodatna ulaganja na građevinskim objektima bilježe uvećanje od 442%. Uvećanje se najvećim djelom odnosi na dodatna ulaganja u ceste.  Sanacije cesta odvijale su se u ulici </w:t>
      </w:r>
      <w:proofErr w:type="spellStart"/>
      <w:r>
        <w:t>Priko</w:t>
      </w:r>
      <w:proofErr w:type="spellEnd"/>
      <w:r>
        <w:t xml:space="preserve"> poja ispred kbr.6, dijelu ulice kod naselja Ljutić- </w:t>
      </w:r>
      <w:proofErr w:type="spellStart"/>
      <w:r>
        <w:t>Oršić</w:t>
      </w:r>
      <w:proofErr w:type="spellEnd"/>
      <w:r>
        <w:t xml:space="preserve"> te u Sabljićima kbr.</w:t>
      </w:r>
      <w:r>
        <w:t>12 do 12 B.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Dionice i udjeli u glavnici trgovačkih društava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134.492,95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15.161,85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11,3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 xml:space="preserve">Dionice i udjeli u glavnici trgovačkih društava u javnom sektoru bilježe umanjenje od 88,7%. Navedeni izdaci odnose se na izgradnju vodovodne i kanalizacijske infrastrukture. Opseg radova na izgradnji vodovodne i kanalizacijske infrastrukture u prethodnoj </w:t>
      </w:r>
      <w:r>
        <w:t>je godini bio značajno veći nego u tekućoj godini.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4707B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i primitaka za </w:t>
            </w:r>
            <w:r>
              <w:rPr>
                <w:sz w:val="18"/>
              </w:rPr>
              <w:t>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502.747,50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U ovom izvještajnom razdoblju ostvaren je manjak prihoda i primitaka u iznosu od 502.747,50 EUR, koji će imati pokriće u slijedećem izvještajnom razdoblju.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1.448.449,20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257.425,11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17,8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Značajno smanjenje stanja novčanih sredstava u odnosu na prethodnu godinu izravna je posljedica dinamike financiranja projekta izgradnje vatrogasnog doma, koji se podmiruje iz općih prihoda i sredstava EU. S obzirom na to da je projekt trenutno u fazi čeka</w:t>
      </w:r>
      <w:r>
        <w:t xml:space="preserve">nja isplate </w:t>
      </w:r>
      <w:r>
        <w:lastRenderedPageBreak/>
        <w:t>potraživanih sredstava po predanim zahtjevima za nadoknadu sredstava (ZNS), zabilježen je privremeni pad likvidnosti.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4707B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</w:t>
            </w:r>
            <w:r>
              <w:rPr>
                <w:sz w:val="18"/>
              </w:rPr>
              <w:t>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86.166,56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Stanje dospjelih obveza na kraju izvještajnog razdoblja iznosi 86.166,56 EUR. Od toga 85.968,78 EUR dospjelo je unutar 1-60 dana, 120,00 EUR od 61-180 dana, te 77,78 EUR od 181-360 dana.</w:t>
      </w:r>
    </w:p>
    <w:p w:rsidR="004707B0" w:rsidRDefault="00256833">
      <w:r>
        <w:t>Obveze za materijalne rashode nisu podmirene u roku dospijeća radi kr</w:t>
      </w:r>
      <w:r>
        <w:t>atkog roka. Što se tiče obveza za naknade građanima i kućanstvima kašnjenje je 61-180 dana koja će obveza biti podmirena u idućem izvještajnom razdoblju (korisnik preminuo te će se isplata izvršiti nas</w:t>
      </w:r>
      <w:r>
        <w:t>lj</w:t>
      </w:r>
      <w:r w:rsidR="00787C9D">
        <w:t>ed</w:t>
      </w:r>
      <w:r>
        <w:t xml:space="preserve">nicima). Obveza za donacije, kazne, naknade štete i </w:t>
      </w:r>
      <w:r>
        <w:t>kapitalne pomoći imamo prekoračenje 181 do 360 dana, a odnosi se na naknadu koja nije isplaćena Odlukom DIP-a zbog nepodnošenja godišnjeg financijskog izvještaja za 2021.g. te je privremeno obustavljena isplata sredstava za redovno godišnje financiranje iz</w:t>
      </w:r>
      <w:r>
        <w:t xml:space="preserve"> proračuna JLS-a. 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4707B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a) Prekoračenje 1 do 60 dana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D232A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85.968,78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Obveze za materijalne rashode, prekoračenje 1 do 60 dana iznose 85.968,78 EUR te se odnose na petnaest nepodmirenih fakture. Naveden fakture nisu podmirene u roku zbog kratkog roka dospijeća. Iste su podmirene početkom mjeseca travnja.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4707B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b) Prekoračenje 61 do 180 dana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D237B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Navedena obv</w:t>
      </w:r>
      <w:r w:rsidR="00787C9D">
        <w:t>e</w:t>
      </w:r>
      <w:r>
        <w:t>z</w:t>
      </w:r>
      <w:r>
        <w:t>a biti će podmirena u idućem izvještajnom razdoblju (korisnik preminuo te će se isplata izvršiti nas</w:t>
      </w:r>
      <w:r>
        <w:t>lj</w:t>
      </w:r>
      <w:r w:rsidR="00787C9D">
        <w:t>ed</w:t>
      </w:r>
      <w:bookmarkStart w:id="0" w:name="_GoBack"/>
      <w:bookmarkEnd w:id="0"/>
      <w:r>
        <w:t>nicima).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lastRenderedPageBreak/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70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07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4707B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c) Prekoračenje 181 do 360 dana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D238C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707B0" w:rsidRDefault="0025683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707B0" w:rsidRDefault="004707B0">
      <w:pPr>
        <w:spacing w:after="0"/>
      </w:pPr>
    </w:p>
    <w:p w:rsidR="004707B0" w:rsidRDefault="00256833">
      <w:r>
        <w:t>Obveza za donacije, kazne, naknade štete i kapitalne pomoći, prekoračenje 181 do 360 dana, odnosi se na naknadu koja nije isplaćena Odlukom DIP-a zbog nepodnošenja godišnjeg financijskog izvještaja za 2021.g. te je privremeno obustavljena isplata sredstava</w:t>
      </w:r>
      <w:r>
        <w:t xml:space="preserve"> za redovno godišnje financiranje iz proračuna JLS-a. </w:t>
      </w:r>
    </w:p>
    <w:p w:rsidR="004707B0" w:rsidRDefault="004707B0"/>
    <w:p w:rsidR="004707B0" w:rsidRDefault="00256833">
      <w:pPr>
        <w:keepNext/>
        <w:spacing w:line="240" w:lineRule="auto"/>
        <w:jc w:val="center"/>
      </w:pPr>
      <w:r>
        <w:rPr>
          <w:sz w:val="28"/>
        </w:rPr>
        <w:t>Bilješka 48.</w:t>
      </w:r>
    </w:p>
    <w:p w:rsidR="004707B0" w:rsidRDefault="00256833">
      <w:pPr>
        <w:spacing w:line="240" w:lineRule="auto"/>
        <w:jc w:val="both"/>
      </w:pPr>
      <w:r>
        <w:rPr>
          <w:b/>
        </w:rPr>
        <w:t>EU izvještaj</w:t>
      </w:r>
    </w:p>
    <w:p w:rsidR="004707B0" w:rsidRDefault="00256833">
      <w:r>
        <w:t>Projekt "Izgradnja i opremanje vatrogasnog doma DVD Malinska - Dubašnica" financira se iz Integriranog teritorijalnog programa u financijskom razdoblju 2021. – 2027. </w:t>
      </w:r>
    </w:p>
    <w:p w:rsidR="004707B0" w:rsidRDefault="00256833">
      <w:r>
        <w:t>Glavni nositelj projekta je Općina Malinska - Dubašnica, uz partnere DVD-a Malinska - Dubašnica, Područne vatrogasne zajednice otoka Krka te Grada Malog Lošinja.</w:t>
      </w:r>
    </w:p>
    <w:p w:rsidR="004707B0" w:rsidRDefault="00256833">
      <w:r>
        <w:t xml:space="preserve">Projektom je planirana izgradnja i opremanje Vatrogasnog doma u mjestu </w:t>
      </w:r>
      <w:proofErr w:type="spellStart"/>
      <w:r>
        <w:t>Barušići</w:t>
      </w:r>
      <w:proofErr w:type="spellEnd"/>
      <w:r>
        <w:t xml:space="preserve"> na području op</w:t>
      </w:r>
      <w:r>
        <w:t>ćine Malinska-Dubašnica, postavljanje 3  video kamere za rano otkrivanje požara, koje će pokrivati područje od 2.616 ha (60 % površine Općine Malinska-Dubašnica), edukacija članova DVD-a i vatrogasne zajednice. </w:t>
      </w:r>
    </w:p>
    <w:p w:rsidR="004707B0" w:rsidRDefault="00256833">
      <w:r>
        <w:t xml:space="preserve">Razdoblje provedbe projekta je od 1.1.2024. </w:t>
      </w:r>
      <w:r>
        <w:t>do 1.1.2027. godine. </w:t>
      </w:r>
    </w:p>
    <w:p w:rsidR="004707B0" w:rsidRDefault="00256833">
      <w:r>
        <w:t>Projekt je započeo u prosincu 2024. godine, dok je sama gradnja doma započela u siječnju 2025. godine. </w:t>
      </w:r>
    </w:p>
    <w:p w:rsidR="004707B0" w:rsidRDefault="00256833">
      <w:r>
        <w:t>Prema potpisanom Ugovoru Općini Malinska - Dubašnica odobreno je 2.201.210,86 EUR Europskih sredstava dok će se ostatak projekta f</w:t>
      </w:r>
      <w:r>
        <w:t>inancirati općim prihodima Općine.</w:t>
      </w:r>
    </w:p>
    <w:p w:rsidR="004707B0" w:rsidRDefault="00256833">
      <w:r>
        <w:t>U ovom izvještajnom razdoblju nije ostvaren prihod. Ostvareno je 1.497,30 EUR rashoda poslovanja i to za intelektualne i osobne usluge, te 263.207,31 EUR za izgradnju poslovnog objekta.</w:t>
      </w:r>
    </w:p>
    <w:p w:rsidR="004707B0" w:rsidRDefault="00256833">
      <w:r>
        <w:t>Kapitalne pomoći iz državnog prorač</w:t>
      </w:r>
      <w:r>
        <w:t>una temeljem prijenosa EU sredstava te potraživanja za kapitalne pomoći iznose 436.025,26 EUR,  a odnose se na treći ZNS koji u izvještajnom razdoblju nije isplaćen. </w:t>
      </w:r>
    </w:p>
    <w:p w:rsidR="004707B0" w:rsidRDefault="00256833">
      <w:r>
        <w:t xml:space="preserve">U </w:t>
      </w:r>
      <w:proofErr w:type="spellStart"/>
      <w:r>
        <w:t>izvanbilančnoj</w:t>
      </w:r>
      <w:proofErr w:type="spellEnd"/>
      <w:r>
        <w:t xml:space="preserve"> evidenciji bilježimo potraživanja po ugovorima o dodijeljenim bespovratn</w:t>
      </w:r>
      <w:r>
        <w:t>im sredstvima iz EU fondova u visini od 1.223.983,70 EUR. Ostvarenje navedenih prihoda očekujemo u idućim izvještajnim razdobljima.</w:t>
      </w:r>
    </w:p>
    <w:p w:rsidR="004707B0" w:rsidRDefault="004707B0"/>
    <w:sectPr w:rsidR="00470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33A2"/>
    <w:multiLevelType w:val="hybridMultilevel"/>
    <w:tmpl w:val="0CEAEA58"/>
    <w:name w:val="disc"/>
    <w:lvl w:ilvl="0" w:tplc="C5A264DA">
      <w:start w:val="1"/>
      <w:numFmt w:val="bullet"/>
      <w:lvlText w:val="•"/>
      <w:lvlJc w:val="left"/>
      <w:pPr>
        <w:ind w:left="720" w:hanging="360"/>
      </w:pPr>
    </w:lvl>
    <w:lvl w:ilvl="1" w:tplc="83049602">
      <w:start w:val="1"/>
      <w:numFmt w:val="bullet"/>
      <w:lvlText w:val="•"/>
      <w:lvlJc w:val="left"/>
      <w:pPr>
        <w:ind w:left="1440" w:hanging="360"/>
      </w:pPr>
    </w:lvl>
    <w:lvl w:ilvl="2" w:tplc="4B28BFFA">
      <w:start w:val="1"/>
      <w:numFmt w:val="bullet"/>
      <w:lvlText w:val="•"/>
      <w:lvlJc w:val="left"/>
      <w:pPr>
        <w:ind w:left="2160" w:hanging="360"/>
      </w:pPr>
    </w:lvl>
    <w:lvl w:ilvl="3" w:tplc="6838982A">
      <w:start w:val="1"/>
      <w:numFmt w:val="bullet"/>
      <w:lvlText w:val="•"/>
      <w:lvlJc w:val="left"/>
      <w:pPr>
        <w:ind w:left="2880" w:hanging="360"/>
      </w:pPr>
    </w:lvl>
    <w:lvl w:ilvl="4" w:tplc="1F6A8B6C">
      <w:start w:val="1"/>
      <w:numFmt w:val="bullet"/>
      <w:lvlText w:val="•"/>
      <w:lvlJc w:val="left"/>
      <w:pPr>
        <w:ind w:left="3600" w:hanging="360"/>
      </w:pPr>
    </w:lvl>
    <w:lvl w:ilvl="5" w:tplc="1CC287EE">
      <w:start w:val="1"/>
      <w:numFmt w:val="bullet"/>
      <w:lvlText w:val="•"/>
      <w:lvlJc w:val="left"/>
      <w:pPr>
        <w:ind w:left="4320" w:hanging="360"/>
      </w:pPr>
    </w:lvl>
    <w:lvl w:ilvl="6" w:tplc="1E8677D2">
      <w:start w:val="1"/>
      <w:numFmt w:val="bullet"/>
      <w:lvlText w:val="•"/>
      <w:lvlJc w:val="left"/>
      <w:pPr>
        <w:ind w:left="5040" w:hanging="360"/>
      </w:pPr>
    </w:lvl>
    <w:lvl w:ilvl="7" w:tplc="20CED2EA">
      <w:start w:val="1"/>
      <w:numFmt w:val="bullet"/>
      <w:lvlText w:val="•"/>
      <w:lvlJc w:val="left"/>
      <w:pPr>
        <w:ind w:left="5760" w:hanging="360"/>
      </w:pPr>
    </w:lvl>
    <w:lvl w:ilvl="8" w:tplc="0A38625E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B0"/>
    <w:rsid w:val="00256833"/>
    <w:rsid w:val="004707B0"/>
    <w:rsid w:val="0078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E0A4"/>
  <w15:docId w15:val="{CC3DA429-71F9-448B-88AE-3C43E90B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4275</Words>
  <Characters>24374</Characters>
  <Application>Microsoft Office Word</Application>
  <DocSecurity>0</DocSecurity>
  <Lines>203</Lines>
  <Paragraphs>57</Paragraphs>
  <ScaleCrop>false</ScaleCrop>
  <Company/>
  <LinksUpToDate>false</LinksUpToDate>
  <CharactersWithSpaces>28592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Drpić</dc:creator>
  <cp:lastModifiedBy>Luka Drpić</cp:lastModifiedBy>
  <cp:revision>2</cp:revision>
  <dcterms:created xsi:type="dcterms:W3CDTF">2026-04-14T07:16:00Z</dcterms:created>
  <dcterms:modified xsi:type="dcterms:W3CDTF">2026-04-14T07:16:00Z</dcterms:modified>
</cp:coreProperties>
</file>