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D85A3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sz w:val="24"/>
          <w:szCs w:val="24"/>
        </w:rPr>
      </w:pPr>
      <w:r w:rsidRPr="006516BF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6BFCF820" wp14:editId="62C7CD1F">
            <wp:extent cx="304800" cy="381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C7A27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b/>
          <w:sz w:val="24"/>
          <w:szCs w:val="24"/>
        </w:rPr>
      </w:pPr>
      <w:r w:rsidRPr="006516BF">
        <w:rPr>
          <w:rFonts w:cstheme="minorHAnsi"/>
          <w:b/>
          <w:sz w:val="24"/>
          <w:szCs w:val="24"/>
        </w:rPr>
        <w:t>REPUBLIKA HRVATSKA</w:t>
      </w:r>
    </w:p>
    <w:p w14:paraId="3FF7365C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b/>
          <w:sz w:val="24"/>
          <w:szCs w:val="24"/>
        </w:rPr>
      </w:pPr>
      <w:r w:rsidRPr="006516BF">
        <w:rPr>
          <w:rFonts w:cstheme="minorHAnsi"/>
          <w:b/>
          <w:sz w:val="24"/>
          <w:szCs w:val="24"/>
        </w:rPr>
        <w:t>PRIMORSKO-GORANSKA ŽUPANIJA</w:t>
      </w:r>
    </w:p>
    <w:p w14:paraId="09ED3B92" w14:textId="77777777" w:rsidR="00B71656" w:rsidRPr="006516BF" w:rsidRDefault="00B71656" w:rsidP="00B71656">
      <w:pPr>
        <w:pStyle w:val="Naslov3"/>
        <w:framePr w:w="4545" w:h="2285" w:hSpace="181" w:wrap="notBeside" w:vAnchor="text" w:hAnchor="page" w:x="1188" w:y="1"/>
        <w:spacing w:after="80"/>
        <w:jc w:val="center"/>
        <w:rPr>
          <w:rFonts w:asciiTheme="minorHAnsi" w:hAnsiTheme="minorHAnsi" w:cstheme="minorHAnsi"/>
          <w:szCs w:val="24"/>
          <w:lang w:val="hr-HR"/>
        </w:rPr>
      </w:pPr>
      <w:r w:rsidRPr="006516BF">
        <w:rPr>
          <w:rFonts w:asciiTheme="minorHAnsi" w:hAnsiTheme="minorHAnsi" w:cstheme="minorHAnsi"/>
          <w:szCs w:val="24"/>
          <w:lang w:val="hr-HR"/>
        </w:rPr>
        <w:t>OPĆINA MALINSKA-DUBAŠNICA</w:t>
      </w:r>
    </w:p>
    <w:p w14:paraId="6D1302D7" w14:textId="77777777" w:rsidR="00B71656" w:rsidRPr="006516BF" w:rsidRDefault="00656719" w:rsidP="00B71656">
      <w:pPr>
        <w:framePr w:w="4545" w:h="2285" w:hSpace="181" w:wrap="notBeside" w:vAnchor="text" w:hAnchor="page" w:x="1188" w:y="1"/>
        <w:jc w:val="center"/>
        <w:rPr>
          <w:rFonts w:cstheme="minorHAnsi"/>
          <w:i/>
          <w:spacing w:val="20"/>
          <w:sz w:val="24"/>
          <w:szCs w:val="24"/>
        </w:rPr>
      </w:pPr>
      <w:r>
        <w:rPr>
          <w:rFonts w:cstheme="minorHAnsi"/>
          <w:i/>
          <w:spacing w:val="20"/>
          <w:sz w:val="24"/>
          <w:szCs w:val="24"/>
        </w:rPr>
        <w:t>JEDINSTVENI UPRAVNI ODJEL</w:t>
      </w:r>
    </w:p>
    <w:p w14:paraId="0D60D1CB" w14:textId="77777777" w:rsidR="00CD3B32" w:rsidRPr="00261705" w:rsidRDefault="00CD3B32" w:rsidP="00CD3B32">
      <w:pPr>
        <w:spacing w:after="0"/>
        <w:rPr>
          <w:rFonts w:cstheme="minorHAnsi"/>
          <w:sz w:val="16"/>
          <w:szCs w:val="16"/>
        </w:rPr>
      </w:pPr>
      <w:r w:rsidRPr="00640267">
        <w:rPr>
          <w:rFonts w:cstheme="minorHAnsi"/>
          <w:noProof/>
          <w:sz w:val="16"/>
          <w:szCs w:val="16"/>
          <w:lang w:eastAsia="hr-HR"/>
        </w:rPr>
        <w:drawing>
          <wp:anchor distT="0" distB="0" distL="114300" distR="114300" simplePos="0" relativeHeight="251659264" behindDoc="0" locked="0" layoutInCell="1" allowOverlap="1" wp14:anchorId="261514E0" wp14:editId="11CE9D76">
            <wp:simplePos x="0" y="0"/>
            <wp:positionH relativeFrom="column">
              <wp:posOffset>-133350</wp:posOffset>
            </wp:positionH>
            <wp:positionV relativeFrom="paragraph">
              <wp:posOffset>996315</wp:posOffset>
            </wp:positionV>
            <wp:extent cx="365760" cy="365760"/>
            <wp:effectExtent l="0" t="0" r="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11552" w14:textId="0CD881BA" w:rsidR="0051400E" w:rsidRPr="00210960" w:rsidRDefault="00276305" w:rsidP="000B5929">
      <w:pPr>
        <w:spacing w:after="0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KLASA: </w:t>
      </w:r>
      <w:r w:rsidR="00210960" w:rsidRPr="00210960">
        <w:rPr>
          <w:rFonts w:cstheme="minorHAnsi"/>
          <w:sz w:val="24"/>
          <w:szCs w:val="24"/>
        </w:rPr>
        <w:t xml:space="preserve">    </w:t>
      </w:r>
      <w:r w:rsidRPr="00210960">
        <w:rPr>
          <w:rFonts w:cstheme="minorHAnsi"/>
          <w:sz w:val="24"/>
          <w:szCs w:val="24"/>
        </w:rPr>
        <w:t>013-02/2</w:t>
      </w:r>
      <w:r w:rsidR="008E3E26">
        <w:rPr>
          <w:rFonts w:cstheme="minorHAnsi"/>
          <w:sz w:val="24"/>
          <w:szCs w:val="24"/>
        </w:rPr>
        <w:t>4</w:t>
      </w:r>
      <w:r w:rsidRPr="00210960">
        <w:rPr>
          <w:rFonts w:cstheme="minorHAnsi"/>
          <w:sz w:val="24"/>
          <w:szCs w:val="24"/>
        </w:rPr>
        <w:t>-01/</w:t>
      </w:r>
      <w:r w:rsidR="00775734">
        <w:rPr>
          <w:rFonts w:cstheme="minorHAnsi"/>
          <w:sz w:val="24"/>
          <w:szCs w:val="24"/>
        </w:rPr>
        <w:t>1</w:t>
      </w:r>
    </w:p>
    <w:p w14:paraId="3B096EC9" w14:textId="5DE4E2C3" w:rsidR="00276305" w:rsidRPr="00210960" w:rsidRDefault="00276305" w:rsidP="000B5929">
      <w:pPr>
        <w:spacing w:after="0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URBROJ: 2170-26-03-2</w:t>
      </w:r>
      <w:r w:rsidR="008E3E26">
        <w:rPr>
          <w:rFonts w:cstheme="minorHAnsi"/>
          <w:sz w:val="24"/>
          <w:szCs w:val="24"/>
        </w:rPr>
        <w:t>4</w:t>
      </w:r>
      <w:r w:rsidRPr="00210960">
        <w:rPr>
          <w:rFonts w:cstheme="minorHAnsi"/>
          <w:sz w:val="24"/>
          <w:szCs w:val="24"/>
        </w:rPr>
        <w:t>-</w:t>
      </w:r>
      <w:r w:rsidR="002E090A">
        <w:rPr>
          <w:rFonts w:cstheme="minorHAnsi"/>
          <w:sz w:val="24"/>
          <w:szCs w:val="24"/>
        </w:rPr>
        <w:t>3</w:t>
      </w:r>
    </w:p>
    <w:p w14:paraId="18632109" w14:textId="42B68EB5" w:rsidR="000B5929" w:rsidRPr="00210960" w:rsidRDefault="000B5929" w:rsidP="000B5929">
      <w:pPr>
        <w:spacing w:after="0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Malinska, </w:t>
      </w:r>
      <w:r w:rsidR="00A00F74">
        <w:rPr>
          <w:rFonts w:cstheme="minorHAnsi"/>
          <w:sz w:val="24"/>
          <w:szCs w:val="24"/>
        </w:rPr>
        <w:t>1. veljače</w:t>
      </w:r>
      <w:r w:rsidR="00210960" w:rsidRPr="00210960">
        <w:rPr>
          <w:rFonts w:cstheme="minorHAnsi"/>
          <w:sz w:val="24"/>
          <w:szCs w:val="24"/>
        </w:rPr>
        <w:t xml:space="preserve"> 202</w:t>
      </w:r>
      <w:r w:rsidR="003518D4">
        <w:rPr>
          <w:rFonts w:cstheme="minorHAnsi"/>
          <w:sz w:val="24"/>
          <w:szCs w:val="24"/>
        </w:rPr>
        <w:t>4</w:t>
      </w:r>
      <w:r w:rsidR="00210960" w:rsidRPr="00210960">
        <w:rPr>
          <w:rFonts w:cstheme="minorHAnsi"/>
          <w:sz w:val="24"/>
          <w:szCs w:val="24"/>
        </w:rPr>
        <w:t>.</w:t>
      </w:r>
    </w:p>
    <w:p w14:paraId="2DF71C41" w14:textId="77777777" w:rsidR="000B5929" w:rsidRPr="00210960" w:rsidRDefault="000B5929" w:rsidP="00CD3B32">
      <w:pPr>
        <w:jc w:val="both"/>
        <w:rPr>
          <w:rFonts w:cstheme="minorHAnsi"/>
          <w:sz w:val="24"/>
          <w:szCs w:val="24"/>
        </w:rPr>
      </w:pPr>
    </w:p>
    <w:p w14:paraId="356E61D5" w14:textId="7E46E87D" w:rsidR="004138C2" w:rsidRPr="00210960" w:rsidRDefault="00B71656" w:rsidP="00223808">
      <w:pPr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Temeljem</w:t>
      </w:r>
      <w:r w:rsidR="00CD3B32" w:rsidRPr="00210960">
        <w:rPr>
          <w:rFonts w:cstheme="minorHAnsi"/>
          <w:sz w:val="24"/>
          <w:szCs w:val="24"/>
        </w:rPr>
        <w:t xml:space="preserve"> članka 11. stavka 2. Zakona o pravu na pristup informacijama („Narodne novine“ broj 25/13 i 85/15) i odredbi Kodeksa savjetovanja sa zainteresiranom javnošću u postupcima donošenja zakona, drugih propisa i akata („Narodne novine“ broj 140/09), </w:t>
      </w:r>
      <w:r w:rsidR="00191F1E" w:rsidRPr="00210960">
        <w:rPr>
          <w:rFonts w:cstheme="minorHAnsi"/>
          <w:sz w:val="24"/>
          <w:szCs w:val="24"/>
        </w:rPr>
        <w:t>Općina Malinska-</w:t>
      </w:r>
      <w:proofErr w:type="spellStart"/>
      <w:r w:rsidR="00191F1E" w:rsidRPr="00210960">
        <w:rPr>
          <w:rFonts w:cstheme="minorHAnsi"/>
          <w:sz w:val="24"/>
          <w:szCs w:val="24"/>
        </w:rPr>
        <w:t>Dubašnica</w:t>
      </w:r>
      <w:proofErr w:type="spellEnd"/>
      <w:r w:rsidR="00191F1E" w:rsidRPr="00210960">
        <w:rPr>
          <w:rFonts w:cstheme="minorHAnsi"/>
          <w:sz w:val="24"/>
          <w:szCs w:val="24"/>
        </w:rPr>
        <w:t xml:space="preserve"> upućuje</w:t>
      </w:r>
    </w:p>
    <w:p w14:paraId="66AC0669" w14:textId="77777777" w:rsidR="00191F1E" w:rsidRPr="00210960" w:rsidRDefault="00191F1E" w:rsidP="00191F1E">
      <w:pPr>
        <w:spacing w:after="0"/>
        <w:jc w:val="center"/>
        <w:rPr>
          <w:rFonts w:cstheme="minorHAnsi"/>
          <w:b/>
          <w:sz w:val="24"/>
          <w:szCs w:val="24"/>
        </w:rPr>
      </w:pPr>
      <w:r w:rsidRPr="00210960">
        <w:rPr>
          <w:rFonts w:cstheme="minorHAnsi"/>
          <w:b/>
          <w:sz w:val="24"/>
          <w:szCs w:val="24"/>
        </w:rPr>
        <w:t>JAVNI POZIV</w:t>
      </w:r>
    </w:p>
    <w:p w14:paraId="04E3F358" w14:textId="77777777" w:rsidR="002768EF" w:rsidRPr="00210960" w:rsidRDefault="00BC7808" w:rsidP="002768EF">
      <w:pPr>
        <w:spacing w:after="0"/>
        <w:jc w:val="center"/>
        <w:rPr>
          <w:rFonts w:cstheme="minorHAnsi"/>
          <w:b/>
          <w:sz w:val="24"/>
          <w:szCs w:val="24"/>
        </w:rPr>
      </w:pPr>
      <w:r w:rsidRPr="00210960">
        <w:rPr>
          <w:rFonts w:cstheme="minorHAnsi"/>
          <w:b/>
          <w:sz w:val="24"/>
          <w:szCs w:val="24"/>
        </w:rPr>
        <w:t xml:space="preserve"> za savjetovanje s javnošću u postupku donošenja</w:t>
      </w:r>
      <w:r w:rsidR="004138C2" w:rsidRPr="00210960">
        <w:rPr>
          <w:rFonts w:cstheme="minorHAnsi"/>
          <w:b/>
          <w:sz w:val="24"/>
          <w:szCs w:val="24"/>
        </w:rPr>
        <w:t xml:space="preserve"> </w:t>
      </w:r>
    </w:p>
    <w:p w14:paraId="5AD7E279" w14:textId="69F7F85C" w:rsidR="002E090A" w:rsidRPr="002E090A" w:rsidRDefault="002E090A" w:rsidP="002E090A">
      <w:pPr>
        <w:spacing w:after="0"/>
        <w:jc w:val="center"/>
        <w:rPr>
          <w:rFonts w:cstheme="minorHAnsi"/>
          <w:b/>
          <w:sz w:val="24"/>
          <w:szCs w:val="24"/>
        </w:rPr>
      </w:pPr>
      <w:r w:rsidRPr="002E090A">
        <w:rPr>
          <w:rFonts w:cstheme="minorHAnsi"/>
          <w:b/>
          <w:sz w:val="24"/>
          <w:szCs w:val="24"/>
        </w:rPr>
        <w:t>ODLUK</w:t>
      </w:r>
      <w:r>
        <w:rPr>
          <w:rFonts w:cstheme="minorHAnsi"/>
          <w:b/>
          <w:sz w:val="24"/>
          <w:szCs w:val="24"/>
        </w:rPr>
        <w:t>E</w:t>
      </w:r>
      <w:r w:rsidRPr="002E090A">
        <w:rPr>
          <w:rFonts w:cstheme="minorHAnsi"/>
          <w:b/>
          <w:sz w:val="24"/>
          <w:szCs w:val="24"/>
        </w:rPr>
        <w:t xml:space="preserve"> O SOCIJALNOJ SKRBI </w:t>
      </w:r>
    </w:p>
    <w:p w14:paraId="36AF76E0" w14:textId="77777777" w:rsidR="00D80087" w:rsidRDefault="00D80087" w:rsidP="005F5D0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B5B1891" w14:textId="5EAD3AA3" w:rsidR="00B71656" w:rsidRPr="00210960" w:rsidRDefault="0035131D" w:rsidP="005F5D0C">
      <w:pPr>
        <w:spacing w:after="0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Ovim putem poziva se zainteresirana javnost </w:t>
      </w:r>
      <w:r w:rsidR="00D83C81" w:rsidRPr="00210960">
        <w:rPr>
          <w:rFonts w:cstheme="minorHAnsi"/>
          <w:sz w:val="24"/>
          <w:szCs w:val="24"/>
        </w:rPr>
        <w:t xml:space="preserve">koja svojim prijedlozima i sugestijama može pridonijeti donošenju kvalitetnije </w:t>
      </w:r>
      <w:r w:rsidR="0051400E" w:rsidRPr="00210960">
        <w:rPr>
          <w:rFonts w:cstheme="minorHAnsi"/>
          <w:sz w:val="24"/>
          <w:szCs w:val="24"/>
        </w:rPr>
        <w:t>Odluke</w:t>
      </w:r>
      <w:r w:rsidR="00D83C81" w:rsidRPr="00210960">
        <w:rPr>
          <w:rFonts w:cstheme="minorHAnsi"/>
          <w:sz w:val="24"/>
          <w:szCs w:val="24"/>
        </w:rPr>
        <w:t xml:space="preserve">. </w:t>
      </w:r>
      <w:r w:rsidR="00B71656" w:rsidRPr="00210960">
        <w:rPr>
          <w:rFonts w:cstheme="minorHAnsi"/>
          <w:sz w:val="24"/>
          <w:szCs w:val="24"/>
        </w:rPr>
        <w:t xml:space="preserve">Savjetovanje s javnošću provodi se u razdoblju </w:t>
      </w:r>
      <w:r w:rsidR="00210960" w:rsidRPr="00210960">
        <w:rPr>
          <w:rFonts w:cstheme="minorHAnsi"/>
          <w:sz w:val="24"/>
          <w:szCs w:val="24"/>
        </w:rPr>
        <w:t xml:space="preserve">od </w:t>
      </w:r>
      <w:r w:rsidR="00A00F74">
        <w:rPr>
          <w:rFonts w:cstheme="minorHAnsi"/>
          <w:sz w:val="24"/>
          <w:szCs w:val="24"/>
          <w:u w:val="single"/>
        </w:rPr>
        <w:t>1.02</w:t>
      </w:r>
      <w:r w:rsidR="008E3E26">
        <w:rPr>
          <w:rFonts w:cstheme="minorHAnsi"/>
          <w:sz w:val="24"/>
          <w:szCs w:val="24"/>
          <w:u w:val="single"/>
        </w:rPr>
        <w:t>.2024. do 1</w:t>
      </w:r>
      <w:r w:rsidR="00A00F74">
        <w:rPr>
          <w:rFonts w:cstheme="minorHAnsi"/>
          <w:sz w:val="24"/>
          <w:szCs w:val="24"/>
          <w:u w:val="single"/>
        </w:rPr>
        <w:t>4</w:t>
      </w:r>
      <w:r w:rsidR="008E3E26">
        <w:rPr>
          <w:rFonts w:cstheme="minorHAnsi"/>
          <w:sz w:val="24"/>
          <w:szCs w:val="24"/>
          <w:u w:val="single"/>
        </w:rPr>
        <w:t>.02.2024.</w:t>
      </w:r>
    </w:p>
    <w:p w14:paraId="60CA4F10" w14:textId="77777777" w:rsidR="005F5D0C" w:rsidRPr="00210960" w:rsidRDefault="005F5D0C" w:rsidP="005F5D0C">
      <w:pPr>
        <w:spacing w:after="0"/>
        <w:jc w:val="both"/>
        <w:rPr>
          <w:rFonts w:cstheme="minorHAnsi"/>
          <w:sz w:val="24"/>
          <w:szCs w:val="24"/>
        </w:rPr>
      </w:pPr>
    </w:p>
    <w:p w14:paraId="4C47F13A" w14:textId="77777777" w:rsidR="008420C6" w:rsidRPr="00210960" w:rsidRDefault="00D83C81" w:rsidP="00D83C81">
      <w:pPr>
        <w:spacing w:after="0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P</w:t>
      </w:r>
      <w:r w:rsidR="008420C6" w:rsidRPr="00210960">
        <w:rPr>
          <w:rFonts w:cstheme="minorHAnsi"/>
          <w:sz w:val="24"/>
          <w:szCs w:val="24"/>
        </w:rPr>
        <w:t>rijedlog</w:t>
      </w:r>
      <w:r w:rsidRPr="00210960">
        <w:rPr>
          <w:rFonts w:cstheme="minorHAnsi"/>
          <w:sz w:val="24"/>
          <w:szCs w:val="24"/>
        </w:rPr>
        <w:t>e,</w:t>
      </w:r>
      <w:r w:rsidR="008420C6" w:rsidRPr="00210960">
        <w:rPr>
          <w:rFonts w:cstheme="minorHAnsi"/>
          <w:sz w:val="24"/>
          <w:szCs w:val="24"/>
        </w:rPr>
        <w:t xml:space="preserve"> odnosno mišljenja u svezi s nacrtom akta</w:t>
      </w:r>
      <w:r w:rsidRPr="00210960">
        <w:rPr>
          <w:rFonts w:cstheme="minorHAnsi"/>
          <w:sz w:val="24"/>
          <w:szCs w:val="24"/>
        </w:rPr>
        <w:t xml:space="preserve"> zainteresirana javnost može </w:t>
      </w:r>
      <w:r w:rsidR="009F5143" w:rsidRPr="00210960">
        <w:rPr>
          <w:rFonts w:cstheme="minorHAnsi"/>
          <w:sz w:val="24"/>
          <w:szCs w:val="24"/>
        </w:rPr>
        <w:t>dostaviti</w:t>
      </w:r>
      <w:r w:rsidR="008420C6" w:rsidRPr="00210960">
        <w:rPr>
          <w:rFonts w:cstheme="minorHAnsi"/>
          <w:sz w:val="24"/>
          <w:szCs w:val="24"/>
        </w:rPr>
        <w:t>:</w:t>
      </w:r>
    </w:p>
    <w:p w14:paraId="7EFE24CB" w14:textId="77777777" w:rsidR="00191F1E" w:rsidRPr="00210960" w:rsidRDefault="00B71656" w:rsidP="00191F1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• osobnom dostavom u pisarnicu Općine </w:t>
      </w:r>
      <w:r w:rsidR="00191F1E" w:rsidRPr="00210960">
        <w:rPr>
          <w:rFonts w:cstheme="minorHAnsi"/>
          <w:sz w:val="24"/>
          <w:szCs w:val="24"/>
        </w:rPr>
        <w:t>Malinska-</w:t>
      </w:r>
      <w:proofErr w:type="spellStart"/>
      <w:r w:rsidR="00191F1E" w:rsidRPr="00210960">
        <w:rPr>
          <w:rFonts w:cstheme="minorHAnsi"/>
          <w:sz w:val="24"/>
          <w:szCs w:val="24"/>
        </w:rPr>
        <w:t>Dubašnica</w:t>
      </w:r>
      <w:proofErr w:type="spellEnd"/>
      <w:r w:rsidRPr="00210960">
        <w:rPr>
          <w:rFonts w:cstheme="minorHAnsi"/>
          <w:sz w:val="24"/>
          <w:szCs w:val="24"/>
        </w:rPr>
        <w:t xml:space="preserve">, </w:t>
      </w:r>
      <w:r w:rsidR="00191F1E" w:rsidRPr="00210960">
        <w:rPr>
          <w:rFonts w:cstheme="minorHAnsi"/>
          <w:sz w:val="24"/>
          <w:szCs w:val="24"/>
        </w:rPr>
        <w:t xml:space="preserve">Lina </w:t>
      </w:r>
      <w:proofErr w:type="spellStart"/>
      <w:r w:rsidR="00191F1E" w:rsidRPr="00210960">
        <w:rPr>
          <w:rFonts w:cstheme="minorHAnsi"/>
          <w:sz w:val="24"/>
          <w:szCs w:val="24"/>
        </w:rPr>
        <w:t>Bolmarčića</w:t>
      </w:r>
      <w:proofErr w:type="spellEnd"/>
      <w:r w:rsidR="00191F1E" w:rsidRPr="00210960">
        <w:rPr>
          <w:rFonts w:cstheme="minorHAnsi"/>
          <w:sz w:val="24"/>
          <w:szCs w:val="24"/>
        </w:rPr>
        <w:t xml:space="preserve"> 22</w:t>
      </w:r>
      <w:r w:rsidRPr="00210960">
        <w:rPr>
          <w:rFonts w:cstheme="minorHAnsi"/>
          <w:sz w:val="24"/>
          <w:szCs w:val="24"/>
        </w:rPr>
        <w:t xml:space="preserve">, </w:t>
      </w:r>
      <w:r w:rsidR="00191F1E" w:rsidRPr="00210960">
        <w:rPr>
          <w:rFonts w:cstheme="minorHAnsi"/>
          <w:sz w:val="24"/>
          <w:szCs w:val="24"/>
        </w:rPr>
        <w:t>Malinska</w:t>
      </w:r>
      <w:r w:rsidRPr="00210960">
        <w:rPr>
          <w:rFonts w:cstheme="minorHAnsi"/>
          <w:sz w:val="24"/>
          <w:szCs w:val="24"/>
        </w:rPr>
        <w:t xml:space="preserve"> </w:t>
      </w:r>
    </w:p>
    <w:p w14:paraId="76D68112" w14:textId="77777777" w:rsidR="00191F1E" w:rsidRPr="00210960" w:rsidRDefault="00B71656" w:rsidP="00191F1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• poštom na adresu </w:t>
      </w:r>
      <w:r w:rsidR="00191F1E" w:rsidRPr="00210960">
        <w:rPr>
          <w:rFonts w:cstheme="minorHAnsi"/>
          <w:sz w:val="24"/>
          <w:szCs w:val="24"/>
        </w:rPr>
        <w:t>Općine Malinska-</w:t>
      </w:r>
      <w:proofErr w:type="spellStart"/>
      <w:r w:rsidR="00191F1E" w:rsidRPr="00210960">
        <w:rPr>
          <w:rFonts w:cstheme="minorHAnsi"/>
          <w:sz w:val="24"/>
          <w:szCs w:val="24"/>
        </w:rPr>
        <w:t>Dubašnica</w:t>
      </w:r>
      <w:proofErr w:type="spellEnd"/>
      <w:r w:rsidR="00191F1E" w:rsidRPr="00210960">
        <w:rPr>
          <w:rFonts w:cstheme="minorHAnsi"/>
          <w:sz w:val="24"/>
          <w:szCs w:val="24"/>
        </w:rPr>
        <w:t xml:space="preserve">, Lina </w:t>
      </w:r>
      <w:proofErr w:type="spellStart"/>
      <w:r w:rsidR="00191F1E" w:rsidRPr="00210960">
        <w:rPr>
          <w:rFonts w:cstheme="minorHAnsi"/>
          <w:sz w:val="24"/>
          <w:szCs w:val="24"/>
        </w:rPr>
        <w:t>Bolmarčića</w:t>
      </w:r>
      <w:proofErr w:type="spellEnd"/>
      <w:r w:rsidR="00191F1E" w:rsidRPr="00210960">
        <w:rPr>
          <w:rFonts w:cstheme="minorHAnsi"/>
          <w:sz w:val="24"/>
          <w:szCs w:val="24"/>
        </w:rPr>
        <w:t xml:space="preserve"> 22, 51511 Malinska</w:t>
      </w:r>
      <w:r w:rsidRPr="00210960">
        <w:rPr>
          <w:rFonts w:cstheme="minorHAnsi"/>
          <w:sz w:val="24"/>
          <w:szCs w:val="24"/>
        </w:rPr>
        <w:t xml:space="preserve">, </w:t>
      </w:r>
    </w:p>
    <w:p w14:paraId="1E227D29" w14:textId="52C454B8" w:rsidR="00191F1E" w:rsidRPr="00210960" w:rsidRDefault="00B71656" w:rsidP="00191F1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• e-mailom na adresu: </w:t>
      </w:r>
      <w:hyperlink r:id="rId7" w:history="1">
        <w:r w:rsidR="00A0786B" w:rsidRPr="00210960">
          <w:rPr>
            <w:rStyle w:val="Hiperveza"/>
            <w:rFonts w:cstheme="minorHAnsi"/>
            <w:sz w:val="24"/>
            <w:szCs w:val="24"/>
          </w:rPr>
          <w:t>procelnik@malinska.hr</w:t>
        </w:r>
      </w:hyperlink>
    </w:p>
    <w:p w14:paraId="2C285DD8" w14:textId="77777777" w:rsidR="00191F1E" w:rsidRPr="00210960" w:rsidRDefault="00191F1E" w:rsidP="005F5D0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3A4FA0B" w14:textId="7C03FC22" w:rsidR="00857B82" w:rsidRPr="00210960" w:rsidRDefault="00B71656" w:rsidP="00CD3B32">
      <w:pPr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b/>
          <w:sz w:val="24"/>
          <w:szCs w:val="24"/>
        </w:rPr>
        <w:t>obvezno</w:t>
      </w:r>
      <w:r w:rsidRPr="00210960">
        <w:rPr>
          <w:rFonts w:cstheme="minorHAnsi"/>
          <w:sz w:val="24"/>
          <w:szCs w:val="24"/>
        </w:rPr>
        <w:t xml:space="preserve"> na obrascu u privitku</w:t>
      </w:r>
      <w:r w:rsidR="00C3380F" w:rsidRPr="00210960">
        <w:rPr>
          <w:rFonts w:cstheme="minorHAnsi"/>
          <w:sz w:val="24"/>
          <w:szCs w:val="24"/>
        </w:rPr>
        <w:t xml:space="preserve"> ovog javnog poziva</w:t>
      </w:r>
      <w:r w:rsidRPr="00210960">
        <w:rPr>
          <w:rFonts w:cstheme="minorHAnsi"/>
          <w:sz w:val="24"/>
          <w:szCs w:val="24"/>
        </w:rPr>
        <w:t xml:space="preserve">, najkasnije do </w:t>
      </w:r>
      <w:r w:rsidR="008E3E26">
        <w:rPr>
          <w:rFonts w:cstheme="minorHAnsi"/>
          <w:sz w:val="24"/>
          <w:szCs w:val="24"/>
        </w:rPr>
        <w:t>14</w:t>
      </w:r>
      <w:r w:rsidR="00210960" w:rsidRPr="00210960">
        <w:rPr>
          <w:rFonts w:cstheme="minorHAnsi"/>
          <w:sz w:val="24"/>
          <w:szCs w:val="24"/>
        </w:rPr>
        <w:t>.02</w:t>
      </w:r>
      <w:r w:rsidR="00CB5279" w:rsidRPr="00210960">
        <w:rPr>
          <w:rFonts w:cstheme="minorHAnsi"/>
          <w:sz w:val="24"/>
          <w:szCs w:val="24"/>
        </w:rPr>
        <w:t>.</w:t>
      </w:r>
      <w:r w:rsidR="00276305" w:rsidRPr="00210960">
        <w:rPr>
          <w:rFonts w:cstheme="minorHAnsi"/>
          <w:sz w:val="24"/>
          <w:szCs w:val="24"/>
        </w:rPr>
        <w:t>202</w:t>
      </w:r>
      <w:r w:rsidR="008E3E26">
        <w:rPr>
          <w:rFonts w:cstheme="minorHAnsi"/>
          <w:sz w:val="24"/>
          <w:szCs w:val="24"/>
        </w:rPr>
        <w:t>4</w:t>
      </w:r>
      <w:r w:rsidR="0051400E" w:rsidRPr="00210960">
        <w:rPr>
          <w:rFonts w:cstheme="minorHAnsi"/>
          <w:sz w:val="24"/>
          <w:szCs w:val="24"/>
        </w:rPr>
        <w:t>.</w:t>
      </w:r>
      <w:r w:rsidRPr="00210960">
        <w:rPr>
          <w:rFonts w:cstheme="minorHAnsi"/>
          <w:sz w:val="24"/>
          <w:szCs w:val="24"/>
        </w:rPr>
        <w:t xml:space="preserve"> godine</w:t>
      </w:r>
      <w:r w:rsidR="005F5D0C" w:rsidRPr="00210960">
        <w:rPr>
          <w:rFonts w:cstheme="minorHAnsi"/>
          <w:sz w:val="24"/>
          <w:szCs w:val="24"/>
        </w:rPr>
        <w:t>.</w:t>
      </w:r>
    </w:p>
    <w:p w14:paraId="0B1931EB" w14:textId="77777777" w:rsidR="00C3380F" w:rsidRPr="00210960" w:rsidRDefault="00C3380F" w:rsidP="002F34F0">
      <w:pPr>
        <w:spacing w:after="0"/>
        <w:jc w:val="both"/>
        <w:rPr>
          <w:rFonts w:cstheme="minorHAnsi"/>
          <w:sz w:val="24"/>
          <w:szCs w:val="24"/>
        </w:rPr>
      </w:pPr>
    </w:p>
    <w:p w14:paraId="609CC781" w14:textId="77777777" w:rsidR="00191F1E" w:rsidRPr="00210960" w:rsidRDefault="000B5929" w:rsidP="00CD3B32">
      <w:pPr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Po isteku roka za dostavu mišljenja i prijedloga izradit će se i objaviti Izvješće o savjetovanju s javnošću koje sadrži zaprimljene prijedloge i primjedbe te očitovanja. Izvješće će se objaviti na službenim Internetskim stranicama Općine Malinska-</w:t>
      </w:r>
      <w:proofErr w:type="spellStart"/>
      <w:r w:rsidRPr="00210960">
        <w:rPr>
          <w:rFonts w:cstheme="minorHAnsi"/>
          <w:sz w:val="24"/>
          <w:szCs w:val="24"/>
        </w:rPr>
        <w:t>Dubašnica</w:t>
      </w:r>
      <w:proofErr w:type="spellEnd"/>
      <w:r w:rsidRPr="00210960">
        <w:rPr>
          <w:rFonts w:cstheme="minorHAnsi"/>
          <w:sz w:val="24"/>
          <w:szCs w:val="24"/>
        </w:rPr>
        <w:t xml:space="preserve"> www.malinska.hr.</w:t>
      </w:r>
    </w:p>
    <w:p w14:paraId="799E9679" w14:textId="107DEFAD" w:rsidR="000B5929" w:rsidRPr="00210960" w:rsidRDefault="000B5929" w:rsidP="00191F1E">
      <w:pPr>
        <w:spacing w:after="0"/>
        <w:rPr>
          <w:rFonts w:cstheme="minorHAnsi"/>
          <w:sz w:val="24"/>
          <w:szCs w:val="24"/>
        </w:rPr>
      </w:pPr>
    </w:p>
    <w:p w14:paraId="4A607C64" w14:textId="7290D92C" w:rsidR="00A73D3A" w:rsidRPr="00210960" w:rsidRDefault="00A73D3A" w:rsidP="00191F1E">
      <w:pPr>
        <w:spacing w:after="0"/>
        <w:rPr>
          <w:rFonts w:cstheme="minorHAnsi"/>
          <w:sz w:val="24"/>
          <w:szCs w:val="24"/>
        </w:rPr>
      </w:pPr>
    </w:p>
    <w:p w14:paraId="0E782E73" w14:textId="26CFC100" w:rsidR="00A73D3A" w:rsidRDefault="00A73D3A" w:rsidP="00191F1E">
      <w:pPr>
        <w:spacing w:after="0"/>
        <w:rPr>
          <w:rFonts w:cstheme="minorHAnsi"/>
          <w:sz w:val="24"/>
          <w:szCs w:val="24"/>
        </w:rPr>
      </w:pPr>
    </w:p>
    <w:p w14:paraId="0B2BEA7B" w14:textId="2ECF1D1E" w:rsidR="00210960" w:rsidRDefault="00210960" w:rsidP="00191F1E">
      <w:pPr>
        <w:spacing w:after="0"/>
        <w:rPr>
          <w:rFonts w:cstheme="minorHAnsi"/>
          <w:sz w:val="24"/>
          <w:szCs w:val="24"/>
        </w:rPr>
      </w:pPr>
    </w:p>
    <w:p w14:paraId="5A9CD6B9" w14:textId="4DE65458" w:rsidR="00210960" w:rsidRDefault="00210960" w:rsidP="00191F1E">
      <w:pPr>
        <w:spacing w:after="0"/>
        <w:rPr>
          <w:rFonts w:cstheme="minorHAnsi"/>
          <w:sz w:val="24"/>
          <w:szCs w:val="24"/>
        </w:rPr>
      </w:pPr>
    </w:p>
    <w:p w14:paraId="183E8558" w14:textId="77777777" w:rsidR="00210960" w:rsidRPr="00210960" w:rsidRDefault="00210960" w:rsidP="00191F1E">
      <w:pPr>
        <w:spacing w:after="0"/>
        <w:rPr>
          <w:rFonts w:cstheme="minorHAnsi"/>
          <w:sz w:val="24"/>
          <w:szCs w:val="24"/>
        </w:rPr>
      </w:pPr>
    </w:p>
    <w:p w14:paraId="4C1C1FB8" w14:textId="3F198C1A" w:rsidR="00A73D3A" w:rsidRPr="002E090A" w:rsidRDefault="00CB5279" w:rsidP="00191F1E">
      <w:pPr>
        <w:spacing w:after="0"/>
        <w:rPr>
          <w:rFonts w:cstheme="minorHAnsi"/>
          <w:sz w:val="24"/>
          <w:szCs w:val="24"/>
        </w:rPr>
      </w:pPr>
      <w:r w:rsidRPr="002E090A">
        <w:rPr>
          <w:rFonts w:cstheme="minorHAnsi"/>
          <w:sz w:val="24"/>
          <w:szCs w:val="24"/>
        </w:rPr>
        <w:lastRenderedPageBreak/>
        <w:t>OBRAZLOŽENJE ODLUKE</w:t>
      </w:r>
    </w:p>
    <w:p w14:paraId="1E8DC17B" w14:textId="3F445916" w:rsidR="00A73D3A" w:rsidRPr="002E090A" w:rsidRDefault="00A73D3A" w:rsidP="00191F1E">
      <w:pPr>
        <w:spacing w:after="0"/>
        <w:rPr>
          <w:rFonts w:cstheme="minorHAnsi"/>
          <w:sz w:val="24"/>
          <w:szCs w:val="24"/>
        </w:rPr>
      </w:pPr>
    </w:p>
    <w:p w14:paraId="60FC28C9" w14:textId="77777777" w:rsidR="002E090A" w:rsidRPr="002E090A" w:rsidRDefault="002E090A" w:rsidP="002E090A">
      <w:pPr>
        <w:spacing w:after="240"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090A">
        <w:rPr>
          <w:rFonts w:eastAsia="Times New Roman" w:cstheme="minorHAnsi"/>
          <w:sz w:val="24"/>
          <w:szCs w:val="24"/>
          <w:lang w:eastAsia="hr-HR"/>
        </w:rPr>
        <w:t>Novom Odlukom o socijalnoj skrbi želi se uskladiti lokalni akt prvenstveno sa Zakonom o socijalnoj skrbi (Narodne novine, br. 18/2022, 46/2022, 119/2022, 71/2023, 156/2023), no također i sa Zakonom o inkluzivnom dodatku (Narodne novine, br. 156/2023) te realnim potrebama koje se uočavaju u dnevnom radu. Potrebno je zatim uskladiti iznose cenzusa i visine naknada prema inflacijskim promjenama koje su se dogodile proteklih 10ak godina, a otkada se, uz iznimke naknade za opremu novorođenčeta, iznosi naknada nisu mijenjali.</w:t>
      </w:r>
    </w:p>
    <w:p w14:paraId="44B58F78" w14:textId="77777777" w:rsidR="002E090A" w:rsidRPr="002E090A" w:rsidRDefault="002E090A" w:rsidP="002E090A">
      <w:pPr>
        <w:spacing w:after="240"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090A">
        <w:rPr>
          <w:rFonts w:eastAsia="Times New Roman" w:cstheme="minorHAnsi"/>
          <w:sz w:val="24"/>
          <w:szCs w:val="24"/>
          <w:lang w:eastAsia="hr-HR"/>
        </w:rPr>
        <w:t xml:space="preserve">Predlažu se sljedeće novine/izmijene: </w:t>
      </w:r>
    </w:p>
    <w:p w14:paraId="044DD061" w14:textId="77777777" w:rsidR="002E090A" w:rsidRPr="002E090A" w:rsidRDefault="002E090A" w:rsidP="002E090A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090A">
        <w:rPr>
          <w:rFonts w:eastAsia="Times New Roman" w:cstheme="minorHAnsi"/>
          <w:sz w:val="24"/>
          <w:szCs w:val="24"/>
          <w:lang w:eastAsia="hr-HR"/>
        </w:rPr>
        <w:t xml:space="preserve">U novu Odluku uvodi se odredba (čl. 4.) kako se prava ostvaruju prvenstveno na teret Republike Hrvatske te drugih pravnih ili fizičkih osoba, kako bi se izbjegli slučajevi u kojima osobe, izbjegavajući ispitne postupke državnih službi, ostvaruju prava na lokalnoj razini koja nema resursa provesti detaljnije provjere. </w:t>
      </w:r>
      <w:r w:rsidRPr="002E090A">
        <w:rPr>
          <w:rFonts w:eastAsia="Times New Roman" w:cstheme="minorHAnsi"/>
          <w:sz w:val="24"/>
          <w:szCs w:val="24"/>
          <w:u w:val="single"/>
          <w:lang w:eastAsia="hr-HR"/>
        </w:rPr>
        <w:t xml:space="preserve">Također, važno je dati do znanja kako općinska socijalna skrb čini </w:t>
      </w:r>
      <w:proofErr w:type="spellStart"/>
      <w:r w:rsidRPr="002E090A">
        <w:rPr>
          <w:rFonts w:eastAsia="Times New Roman" w:cstheme="minorHAnsi"/>
          <w:sz w:val="24"/>
          <w:szCs w:val="24"/>
          <w:u w:val="single"/>
          <w:lang w:eastAsia="hr-HR"/>
        </w:rPr>
        <w:t>nadstandard</w:t>
      </w:r>
      <w:proofErr w:type="spellEnd"/>
      <w:r w:rsidRPr="002E090A">
        <w:rPr>
          <w:rFonts w:eastAsia="Times New Roman" w:cstheme="minorHAnsi"/>
          <w:sz w:val="24"/>
          <w:szCs w:val="24"/>
          <w:u w:val="single"/>
          <w:lang w:eastAsia="hr-HR"/>
        </w:rPr>
        <w:t xml:space="preserve"> nad državnom, a ne primarnu socijalnu skrb koja je određena zakonom.</w:t>
      </w:r>
    </w:p>
    <w:p w14:paraId="383FCE4A" w14:textId="77777777" w:rsidR="002E090A" w:rsidRPr="002E090A" w:rsidRDefault="002E090A" w:rsidP="002E090A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090A">
        <w:rPr>
          <w:rFonts w:eastAsia="Times New Roman" w:cstheme="minorHAnsi"/>
          <w:sz w:val="24"/>
          <w:szCs w:val="24"/>
          <w:lang w:eastAsia="hr-HR"/>
        </w:rPr>
        <w:t>Naglašava se (čl. 7.) odgovornost pojedinca koji je dužan brinuti se za zadovoljavanje svojih životnih potreba i svojih bližnjih, kako svojim radom, tako i svom svojom imovinom.</w:t>
      </w:r>
    </w:p>
    <w:p w14:paraId="02D9B771" w14:textId="77777777" w:rsidR="002E090A" w:rsidRPr="002E090A" w:rsidRDefault="002E090A" w:rsidP="002E090A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090A">
        <w:rPr>
          <w:rFonts w:eastAsia="Times New Roman" w:cstheme="minorHAnsi"/>
          <w:sz w:val="24"/>
          <w:szCs w:val="24"/>
          <w:lang w:eastAsia="hr-HR"/>
        </w:rPr>
        <w:t xml:space="preserve">Predlaže se (čl. 8.) odredba da osoba mora imati najmanje jednu godinu neprekidnog prebivališta/boravišta na području Općine kako bi ostvarila prava. </w:t>
      </w:r>
    </w:p>
    <w:p w14:paraId="755F1342" w14:textId="77777777" w:rsidR="002E090A" w:rsidRPr="002E090A" w:rsidRDefault="002E090A" w:rsidP="002E090A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  <w:r w:rsidRPr="002E090A">
        <w:rPr>
          <w:rFonts w:eastAsia="Times New Roman" w:cstheme="minorHAnsi"/>
          <w:sz w:val="24"/>
          <w:szCs w:val="24"/>
          <w:lang w:eastAsia="hr-HR"/>
        </w:rPr>
        <w:t xml:space="preserve">U čl. 8. se predlaže uvesti odredba kako građani koji se sele iz jedne jedinice lokalne samouprave na području otoka u drugu, ne moraju udovoljavati uvjetu prebivališta od minimalno jedne godine. </w:t>
      </w:r>
    </w:p>
    <w:p w14:paraId="5B72C76F" w14:textId="77777777" w:rsidR="002E090A" w:rsidRPr="002E090A" w:rsidRDefault="002E090A" w:rsidP="002E090A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090A">
        <w:rPr>
          <w:rFonts w:eastAsia="Times New Roman" w:cstheme="minorHAnsi"/>
          <w:sz w:val="24"/>
          <w:szCs w:val="24"/>
          <w:lang w:eastAsia="hr-HR"/>
        </w:rPr>
        <w:t>U novoj Odluci predlaže se ukidanje uvjeta minimalnog prihoda koji je iznosio 600,00 kn i kojim se je uvjetovalo odobravanje mjesečnih naknada, s obzirom da se smatra kako su cenzusi prihoda realni za ostvarivanje svih prava.</w:t>
      </w:r>
    </w:p>
    <w:p w14:paraId="5D59D2DA" w14:textId="77777777" w:rsidR="002E090A" w:rsidRPr="002E090A" w:rsidRDefault="002E090A" w:rsidP="002E090A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090A">
        <w:rPr>
          <w:rFonts w:eastAsia="Times New Roman" w:cstheme="minorHAnsi"/>
          <w:sz w:val="24"/>
          <w:szCs w:val="24"/>
          <w:lang w:eastAsia="hr-HR"/>
        </w:rPr>
        <w:t>U socijalnom uvjetu briše se ostvarivanje prava temeljem rješenja Centra za socijalnu skrb za doplatak za pomoć i njegu i osobnu invalidninu iz razloga što se isto odobrava na drugačiji način temeljem Zakona o inkluzivnom dodatku, a na koji se pozivamo isključivo kod odobravanja prava osobama s invaliditetom.</w:t>
      </w:r>
    </w:p>
    <w:p w14:paraId="59FAD3C1" w14:textId="77777777" w:rsidR="002E090A" w:rsidRPr="002E090A" w:rsidRDefault="002E090A" w:rsidP="002E090A">
      <w:pPr>
        <w:numPr>
          <w:ilvl w:val="0"/>
          <w:numId w:val="2"/>
        </w:numPr>
        <w:suppressAutoHyphens/>
        <w:spacing w:after="120" w:line="276" w:lineRule="auto"/>
        <w:ind w:left="284" w:hanging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090A">
        <w:rPr>
          <w:rFonts w:eastAsia="Times New Roman" w:cstheme="minorHAnsi"/>
          <w:sz w:val="24"/>
          <w:szCs w:val="24"/>
          <w:lang w:eastAsia="hr-HR"/>
        </w:rPr>
        <w:t>Cenzusi se mijenjaju kako slijedi:</w:t>
      </w:r>
    </w:p>
    <w:p w14:paraId="069A75CC" w14:textId="77777777" w:rsidR="002E090A" w:rsidRPr="002E090A" w:rsidRDefault="002E090A" w:rsidP="002E090A">
      <w:pPr>
        <w:numPr>
          <w:ilvl w:val="0"/>
          <w:numId w:val="3"/>
        </w:numPr>
        <w:suppressAutoHyphens/>
        <w:spacing w:after="0"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090A">
        <w:rPr>
          <w:rFonts w:eastAsia="Times New Roman" w:cstheme="minorHAnsi"/>
          <w:sz w:val="24"/>
          <w:szCs w:val="24"/>
          <w:lang w:eastAsia="hr-HR"/>
        </w:rPr>
        <w:t xml:space="preserve">jednočlano kućanstvo: STARA ODLUKA do 2.100,00 kn, 278,72 EUR; </w:t>
      </w:r>
      <w:r w:rsidRPr="002E090A">
        <w:rPr>
          <w:rFonts w:eastAsia="Times New Roman" w:cstheme="minorHAnsi"/>
          <w:sz w:val="24"/>
          <w:szCs w:val="24"/>
          <w:u w:val="single"/>
          <w:lang w:eastAsia="hr-HR"/>
        </w:rPr>
        <w:t>PRIJEDLOG:</w:t>
      </w:r>
      <w:r w:rsidRPr="002E090A">
        <w:rPr>
          <w:rFonts w:eastAsia="Times New Roman" w:cstheme="minorHAnsi"/>
          <w:sz w:val="24"/>
          <w:szCs w:val="24"/>
          <w:lang w:eastAsia="hr-HR"/>
        </w:rPr>
        <w:t xml:space="preserve"> 380 EUR</w:t>
      </w:r>
    </w:p>
    <w:p w14:paraId="6EA5CF0D" w14:textId="77777777" w:rsidR="002E090A" w:rsidRPr="002E090A" w:rsidRDefault="002E090A" w:rsidP="002E090A">
      <w:pPr>
        <w:numPr>
          <w:ilvl w:val="0"/>
          <w:numId w:val="3"/>
        </w:numPr>
        <w:suppressAutoHyphens/>
        <w:spacing w:after="0"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090A">
        <w:rPr>
          <w:rFonts w:eastAsia="Times New Roman" w:cstheme="minorHAnsi"/>
          <w:sz w:val="24"/>
          <w:szCs w:val="24"/>
          <w:lang w:eastAsia="hr-HR"/>
        </w:rPr>
        <w:t xml:space="preserve">dvočlano kućanstvo: STARA ODLUKA do 3.000,00 kn, 398,17 EUR; </w:t>
      </w:r>
      <w:r w:rsidRPr="002E090A">
        <w:rPr>
          <w:rFonts w:eastAsia="Times New Roman" w:cstheme="minorHAnsi"/>
          <w:sz w:val="24"/>
          <w:szCs w:val="24"/>
          <w:u w:val="single"/>
          <w:lang w:eastAsia="hr-HR"/>
        </w:rPr>
        <w:t xml:space="preserve">PRIJEDLOG: </w:t>
      </w:r>
      <w:r w:rsidRPr="002E090A">
        <w:rPr>
          <w:rFonts w:eastAsia="Times New Roman" w:cstheme="minorHAnsi"/>
          <w:sz w:val="24"/>
          <w:szCs w:val="24"/>
          <w:lang w:eastAsia="hr-HR"/>
        </w:rPr>
        <w:t xml:space="preserve"> 600 EUR</w:t>
      </w:r>
    </w:p>
    <w:p w14:paraId="6A050B8C" w14:textId="77777777" w:rsidR="002E090A" w:rsidRPr="002E090A" w:rsidRDefault="002E090A" w:rsidP="002E090A">
      <w:pPr>
        <w:numPr>
          <w:ilvl w:val="0"/>
          <w:numId w:val="3"/>
        </w:numPr>
        <w:suppressAutoHyphens/>
        <w:spacing w:after="0"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090A">
        <w:rPr>
          <w:rFonts w:eastAsia="Times New Roman" w:cstheme="minorHAnsi"/>
          <w:sz w:val="24"/>
          <w:szCs w:val="24"/>
          <w:lang w:eastAsia="hr-HR"/>
        </w:rPr>
        <w:t xml:space="preserve">tročlano kućanstvo: STARA ODLUKA do 4.000,00 kn, 530,89 EUR; </w:t>
      </w:r>
      <w:r w:rsidRPr="002E090A">
        <w:rPr>
          <w:rFonts w:eastAsia="Times New Roman" w:cstheme="minorHAnsi"/>
          <w:sz w:val="24"/>
          <w:szCs w:val="24"/>
          <w:u w:val="single"/>
          <w:lang w:eastAsia="hr-HR"/>
        </w:rPr>
        <w:t xml:space="preserve">PRIJEDLOG: </w:t>
      </w:r>
      <w:r w:rsidRPr="002E090A">
        <w:rPr>
          <w:rFonts w:eastAsia="Times New Roman" w:cstheme="minorHAnsi"/>
          <w:sz w:val="24"/>
          <w:szCs w:val="24"/>
          <w:lang w:eastAsia="hr-HR"/>
        </w:rPr>
        <w:t xml:space="preserve"> 800 EUR</w:t>
      </w:r>
    </w:p>
    <w:p w14:paraId="5E98F45E" w14:textId="77777777" w:rsidR="002E090A" w:rsidRPr="002E090A" w:rsidRDefault="002E090A" w:rsidP="002E090A">
      <w:pPr>
        <w:numPr>
          <w:ilvl w:val="0"/>
          <w:numId w:val="3"/>
        </w:numPr>
        <w:suppressAutoHyphens/>
        <w:spacing w:after="0"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090A">
        <w:rPr>
          <w:rFonts w:eastAsia="Times New Roman" w:cstheme="minorHAnsi"/>
          <w:sz w:val="24"/>
          <w:szCs w:val="24"/>
          <w:lang w:eastAsia="hr-HR"/>
        </w:rPr>
        <w:lastRenderedPageBreak/>
        <w:t xml:space="preserve">četveročlano kućanstvo: STARA ODLUKA do 5.100,00 kn, 676,89 EUR; </w:t>
      </w:r>
      <w:r w:rsidRPr="002E090A">
        <w:rPr>
          <w:rFonts w:eastAsia="Times New Roman" w:cstheme="minorHAnsi"/>
          <w:sz w:val="24"/>
          <w:szCs w:val="24"/>
          <w:u w:val="single"/>
          <w:lang w:eastAsia="hr-HR"/>
        </w:rPr>
        <w:t xml:space="preserve">PRIJEDLOG: </w:t>
      </w:r>
      <w:r w:rsidRPr="002E090A">
        <w:rPr>
          <w:rFonts w:eastAsia="Times New Roman" w:cstheme="minorHAnsi"/>
          <w:sz w:val="24"/>
          <w:szCs w:val="24"/>
          <w:lang w:eastAsia="hr-HR"/>
        </w:rPr>
        <w:t xml:space="preserve"> 1.000,00 EUR</w:t>
      </w:r>
    </w:p>
    <w:p w14:paraId="2CE39351" w14:textId="77777777" w:rsidR="002E090A" w:rsidRPr="002E090A" w:rsidRDefault="002E090A" w:rsidP="002E090A">
      <w:pPr>
        <w:numPr>
          <w:ilvl w:val="0"/>
          <w:numId w:val="3"/>
        </w:numPr>
        <w:suppressAutoHyphens/>
        <w:spacing w:after="240" w:line="276" w:lineRule="auto"/>
        <w:ind w:left="714" w:hanging="357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090A">
        <w:rPr>
          <w:rFonts w:eastAsia="Times New Roman" w:cstheme="minorHAnsi"/>
          <w:sz w:val="24"/>
          <w:szCs w:val="24"/>
          <w:lang w:eastAsia="hr-HR"/>
        </w:rPr>
        <w:t xml:space="preserve">za kućanstvo s više od četiri člana, cenzus prihoda se za svakog sljedećeg člana povećava za: STARA ODLUKA 700,00 kn, 92,91 EUR; </w:t>
      </w:r>
      <w:r w:rsidRPr="002E090A">
        <w:rPr>
          <w:rFonts w:eastAsia="Times New Roman" w:cstheme="minorHAnsi"/>
          <w:sz w:val="24"/>
          <w:szCs w:val="24"/>
          <w:u w:val="single"/>
          <w:lang w:eastAsia="hr-HR"/>
        </w:rPr>
        <w:t xml:space="preserve">PRIJEDLOG: </w:t>
      </w:r>
      <w:r w:rsidRPr="002E090A">
        <w:rPr>
          <w:rFonts w:eastAsia="Times New Roman" w:cstheme="minorHAnsi"/>
          <w:sz w:val="24"/>
          <w:szCs w:val="24"/>
          <w:lang w:eastAsia="hr-HR"/>
        </w:rPr>
        <w:t>150,00 EUR</w:t>
      </w:r>
    </w:p>
    <w:p w14:paraId="319743BF" w14:textId="77777777" w:rsidR="002E090A" w:rsidRPr="002E090A" w:rsidRDefault="002E090A" w:rsidP="002E090A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090A">
        <w:rPr>
          <w:rFonts w:eastAsia="Times New Roman" w:cstheme="minorHAnsi"/>
          <w:sz w:val="24"/>
          <w:szCs w:val="24"/>
          <w:lang w:eastAsia="hr-HR"/>
        </w:rPr>
        <w:t>Mjesečna novčana naknada koja je iznosila 400,00 HRK povisuje se na 100,00 EUR, a uvodi se odredba kako je istu moguće odobriti u umanjenom iznosu ako osoba ima prihode 50% više od cenzusa, ali živi u posebno nepovoljnim životnim uvjetima (slijedom zaključka Socijalnog vijeća).</w:t>
      </w:r>
    </w:p>
    <w:p w14:paraId="130ECE81" w14:textId="77777777" w:rsidR="002E090A" w:rsidRPr="002E090A" w:rsidRDefault="002E090A" w:rsidP="002E090A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090A">
        <w:rPr>
          <w:rFonts w:eastAsia="Times New Roman" w:cstheme="minorHAnsi"/>
          <w:sz w:val="24"/>
          <w:szCs w:val="24"/>
          <w:lang w:eastAsia="hr-HR"/>
        </w:rPr>
        <w:t>Naknada za ogrjev na teret Općine se briše i ''spaja'' s jednokratnom naknadom za stanovanje.</w:t>
      </w:r>
    </w:p>
    <w:p w14:paraId="3A14F5B8" w14:textId="77777777" w:rsidR="002E090A" w:rsidRPr="002E090A" w:rsidRDefault="002E090A" w:rsidP="002E090A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090A">
        <w:rPr>
          <w:rFonts w:eastAsia="Times New Roman" w:cstheme="minorHAnsi"/>
          <w:sz w:val="24"/>
          <w:szCs w:val="24"/>
          <w:lang w:eastAsia="hr-HR"/>
        </w:rPr>
        <w:t xml:space="preserve">Mjesečna naknada za troškove stanovanja odobrava se korisnicima zajamčene minimalne naknade – zakon kaže kako je potrebno odobriti troškove stanovanja u minimalnom iznosu od 30% odobrene ZMN, a ako stvarni troškovi iznose manje, treba odobriti iznos stvarnog troška. </w:t>
      </w:r>
    </w:p>
    <w:p w14:paraId="512358ED" w14:textId="77777777" w:rsidR="002E090A" w:rsidRPr="002E090A" w:rsidRDefault="002E090A" w:rsidP="002E090A">
      <w:pPr>
        <w:suppressAutoHyphens/>
        <w:spacing w:after="240" w:line="276" w:lineRule="auto"/>
        <w:ind w:left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090A">
        <w:rPr>
          <w:rFonts w:eastAsia="Times New Roman" w:cstheme="minorHAnsi"/>
          <w:sz w:val="24"/>
          <w:szCs w:val="24"/>
          <w:lang w:eastAsia="hr-HR"/>
        </w:rPr>
        <w:t xml:space="preserve">Proceduralno to znači da svaki korisnik mora svaki mjesec donositi svoje račune temeljem kojih će se utvrditi iznos za isplatu, što je vrlo komplicirano. Stoga se predlaže odobravanje fiksnog iznosa u visini 50% odobrene ZMN – kao općinski </w:t>
      </w:r>
      <w:proofErr w:type="spellStart"/>
      <w:r w:rsidRPr="002E090A">
        <w:rPr>
          <w:rFonts w:eastAsia="Times New Roman" w:cstheme="minorHAnsi"/>
          <w:sz w:val="24"/>
          <w:szCs w:val="24"/>
          <w:lang w:eastAsia="hr-HR"/>
        </w:rPr>
        <w:t>nadstandard</w:t>
      </w:r>
      <w:proofErr w:type="spellEnd"/>
      <w:r w:rsidRPr="002E090A">
        <w:rPr>
          <w:rFonts w:eastAsia="Times New Roman" w:cstheme="minorHAnsi"/>
          <w:sz w:val="24"/>
          <w:szCs w:val="24"/>
          <w:lang w:eastAsia="hr-HR"/>
        </w:rPr>
        <w:t xml:space="preserve">. S obzirom da naknada za stanovanje predstavlja jedinu zakonsku obvezu prema jedinici lokalne samouprave, a tumačenje Ministarstva rada, mirovinskoga sustava, obitelji i socijalne politike je da isto treba odobriti po službenoj dužnosti, dakle svim korisnicima ZMN, bez obzira traže li oni osobno to pravo ili ne, potrebno je revidirati sve korisnike </w:t>
      </w:r>
      <w:proofErr w:type="spellStart"/>
      <w:r w:rsidRPr="002E090A">
        <w:rPr>
          <w:rFonts w:eastAsia="Times New Roman" w:cstheme="minorHAnsi"/>
          <w:sz w:val="24"/>
          <w:szCs w:val="24"/>
          <w:lang w:eastAsia="hr-HR"/>
        </w:rPr>
        <w:t>ZMNa</w:t>
      </w:r>
      <w:proofErr w:type="spellEnd"/>
      <w:r w:rsidRPr="002E090A">
        <w:rPr>
          <w:rFonts w:eastAsia="Times New Roman" w:cstheme="minorHAnsi"/>
          <w:sz w:val="24"/>
          <w:szCs w:val="24"/>
          <w:lang w:eastAsia="hr-HR"/>
        </w:rPr>
        <w:t xml:space="preserve">, koji na teret Općine imaju odobreno neko drugo pravo te im slijedom donošenja nove Odluke odobriti naknadu za stanovanje, no pritom voditi računa da je ista barem u visini općinske redovne mjesečne pomoći koju su uglavnom </w:t>
      </w:r>
      <w:proofErr w:type="spellStart"/>
      <w:r w:rsidRPr="002E090A">
        <w:rPr>
          <w:rFonts w:eastAsia="Times New Roman" w:cstheme="minorHAnsi"/>
          <w:sz w:val="24"/>
          <w:szCs w:val="24"/>
          <w:lang w:eastAsia="hr-HR"/>
        </w:rPr>
        <w:t>ZMNovci</w:t>
      </w:r>
      <w:proofErr w:type="spellEnd"/>
      <w:r w:rsidRPr="002E090A">
        <w:rPr>
          <w:rFonts w:eastAsia="Times New Roman" w:cstheme="minorHAnsi"/>
          <w:sz w:val="24"/>
          <w:szCs w:val="24"/>
          <w:lang w:eastAsia="hr-HR"/>
        </w:rPr>
        <w:t xml:space="preserve"> dosada koristili.</w:t>
      </w:r>
    </w:p>
    <w:p w14:paraId="54176812" w14:textId="77777777" w:rsidR="002E090A" w:rsidRPr="002E090A" w:rsidRDefault="002E090A" w:rsidP="002E090A">
      <w:pPr>
        <w:suppressAutoHyphens/>
        <w:spacing w:after="240" w:line="276" w:lineRule="auto"/>
        <w:ind w:left="284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0" w:name="_Hlk157368777"/>
      <w:r w:rsidRPr="002E090A">
        <w:rPr>
          <w:rFonts w:eastAsia="Times New Roman" w:cstheme="minorHAnsi"/>
          <w:sz w:val="24"/>
          <w:szCs w:val="24"/>
          <w:lang w:eastAsia="hr-HR"/>
        </w:rPr>
        <w:t>Ako se, po procjeni Socijalnog vijeća, radi o korisnicima koji naknadu neće koristiti u odobrene svrhe, naknada se može odobriti prema stvarno ostvarenim troškovima i isplaćivati direktno pružatelju usluga.</w:t>
      </w:r>
    </w:p>
    <w:bookmarkEnd w:id="0"/>
    <w:p w14:paraId="21004A91" w14:textId="77777777" w:rsidR="002E090A" w:rsidRPr="002E090A" w:rsidRDefault="002E090A" w:rsidP="002E090A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090A">
        <w:rPr>
          <w:rFonts w:eastAsia="Times New Roman" w:cstheme="minorHAnsi"/>
          <w:sz w:val="24"/>
          <w:szCs w:val="24"/>
          <w:lang w:eastAsia="hr-HR"/>
        </w:rPr>
        <w:t>Visina mjesečne naknade za stanovanje za korisnike koji ne primaju ZMN iznosi 100,00 EUR, a ako se, po procjeni Socijalnog vijeća, radi o korisnicima koji naknadu neće koristiti u odobrene svrhe, naknada se može odobriti prema stvarno ostvarenim troškovima i isplaćivati direktno pružatelju usluga.</w:t>
      </w:r>
    </w:p>
    <w:p w14:paraId="23394FDB" w14:textId="77777777" w:rsidR="002E090A" w:rsidRPr="002E090A" w:rsidRDefault="002E090A" w:rsidP="002E090A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2E090A">
        <w:rPr>
          <w:rFonts w:eastAsia="Times New Roman" w:cstheme="minorHAnsi"/>
          <w:sz w:val="24"/>
          <w:szCs w:val="24"/>
          <w:lang w:eastAsia="hr-HR"/>
        </w:rPr>
        <w:t>Troškovi stanovanja koji se odnose na troškove najamnine, odobravaju se posebnom odredbom u visini do 200,00 EUR, ovisno o stvarno ostvarenim troškovima.</w:t>
      </w:r>
    </w:p>
    <w:p w14:paraId="68B93A5B" w14:textId="77777777" w:rsidR="002E090A" w:rsidRPr="002E090A" w:rsidRDefault="002E090A" w:rsidP="002E090A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090A">
        <w:rPr>
          <w:rFonts w:eastAsia="Times New Roman" w:cstheme="minorHAnsi"/>
          <w:sz w:val="24"/>
          <w:szCs w:val="24"/>
          <w:lang w:eastAsia="hr-HR"/>
        </w:rPr>
        <w:t xml:space="preserve">Iznos jednokratne naknade za podmirenje troškova komunalne naknade sa 200,00 HRK povisuje se na 50,00 EUR, s obzirom da se je visina komunalne naknade u proteklih 17 godina u više navrata povećavala (kumulativno oko 80%) i s obzirom na povećanje životnih troškova u </w:t>
      </w:r>
      <w:r w:rsidRPr="002E090A">
        <w:rPr>
          <w:rFonts w:eastAsia="Times New Roman" w:cstheme="minorHAnsi"/>
          <w:sz w:val="24"/>
          <w:szCs w:val="24"/>
          <w:lang w:eastAsia="hr-HR"/>
        </w:rPr>
        <w:lastRenderedPageBreak/>
        <w:t>proteklih 17 godina (ukupna inflacija za razdoblje 2007 – 2023 iznosi 46,60% prema podacima HNB-a).</w:t>
      </w:r>
    </w:p>
    <w:p w14:paraId="25009EEF" w14:textId="53C1C33F" w:rsidR="002E090A" w:rsidRPr="002E090A" w:rsidRDefault="002E090A" w:rsidP="002E090A">
      <w:pPr>
        <w:spacing w:after="240" w:line="276" w:lineRule="auto"/>
        <w:ind w:left="284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2E090A">
        <w:rPr>
          <w:rFonts w:eastAsia="Times New Roman" w:cstheme="minorHAnsi"/>
          <w:noProof/>
          <w:sz w:val="26"/>
          <w:szCs w:val="20"/>
          <w:lang w:val="en-AU" w:eastAsia="hr-HR"/>
        </w:rPr>
        <w:drawing>
          <wp:inline distT="0" distB="0" distL="0" distR="0" wp14:anchorId="1FAD9364" wp14:editId="5E393561">
            <wp:extent cx="4376420" cy="2757170"/>
            <wp:effectExtent l="0" t="0" r="5080" b="5080"/>
            <wp:docPr id="542951545" name="Grafiko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3DE038E" w14:textId="77777777" w:rsidR="002E090A" w:rsidRPr="002E090A" w:rsidRDefault="002E090A" w:rsidP="002E090A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090A">
        <w:rPr>
          <w:rFonts w:eastAsia="Times New Roman" w:cstheme="minorHAnsi"/>
          <w:sz w:val="24"/>
          <w:szCs w:val="24"/>
          <w:lang w:eastAsia="hr-HR"/>
        </w:rPr>
        <w:t xml:space="preserve">Naknada poklona za blagdane izjednačit će korisnike socijalne skrbi i umirovljenike, odnosi se na prigodni poklon za Božić po odluci Načelnika te na </w:t>
      </w:r>
      <w:proofErr w:type="spellStart"/>
      <w:r w:rsidRPr="002E090A">
        <w:rPr>
          <w:rFonts w:eastAsia="Times New Roman" w:cstheme="minorHAnsi"/>
          <w:sz w:val="24"/>
          <w:szCs w:val="24"/>
          <w:lang w:eastAsia="hr-HR"/>
        </w:rPr>
        <w:t>uskrsnicu</w:t>
      </w:r>
      <w:proofErr w:type="spellEnd"/>
      <w:r w:rsidRPr="002E090A">
        <w:rPr>
          <w:rFonts w:eastAsia="Times New Roman" w:cstheme="minorHAnsi"/>
          <w:sz w:val="24"/>
          <w:szCs w:val="24"/>
          <w:lang w:eastAsia="hr-HR"/>
        </w:rPr>
        <w:t xml:space="preserve"> po zaključku Socijalnog vijeća.</w:t>
      </w:r>
    </w:p>
    <w:p w14:paraId="173B1211" w14:textId="77777777" w:rsidR="002E090A" w:rsidRPr="002E090A" w:rsidRDefault="002E090A" w:rsidP="002E090A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090A">
        <w:rPr>
          <w:rFonts w:eastAsia="Times New Roman" w:cstheme="minorHAnsi"/>
          <w:sz w:val="24"/>
          <w:szCs w:val="24"/>
          <w:lang w:eastAsia="hr-HR"/>
        </w:rPr>
        <w:t xml:space="preserve">Predlaže se novi oblik naknade: Pravo na naknadu za podmirenje troškova lijekova koje ostvaruje korisnik koji ispunjava socijalni uvjet ili uvjet prihoda. Pravo se priznaje u iznosu do najviše 50,00 € mjesečno, a ako je ostvareni trošak manji od utvrđenog iznosa, pravo se priznaje u iznosu stvarnog troška temeljem dostavljenih računa. </w:t>
      </w:r>
    </w:p>
    <w:p w14:paraId="5030C17C" w14:textId="77777777" w:rsidR="002E090A" w:rsidRPr="002E090A" w:rsidRDefault="002E090A" w:rsidP="002E090A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090A">
        <w:rPr>
          <w:rFonts w:eastAsia="Times New Roman" w:cstheme="minorHAnsi"/>
          <w:sz w:val="24"/>
          <w:szCs w:val="24"/>
          <w:lang w:eastAsia="hr-HR"/>
        </w:rPr>
        <w:t>Predlaže se novi oblik naknade: Pravo na naknadu za podmirenje troškova pomoći u učenju koju mogu ostvariti učenici koji osobno ili čije kućanstvo ispunjava socijalni uvjet ili uvjet prihoda. Iznos naknade za podmirenje troškova pomoći u učenju isplaćuje se prema stvarno ostvarenom trošku, a najviše do 150,00 EUR mjesečno.</w:t>
      </w:r>
    </w:p>
    <w:p w14:paraId="797B8B6F" w14:textId="77777777" w:rsidR="002E090A" w:rsidRPr="002E090A" w:rsidRDefault="002E090A" w:rsidP="002E090A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090A">
        <w:rPr>
          <w:rFonts w:eastAsia="Times New Roman" w:cstheme="minorHAnsi"/>
          <w:sz w:val="24"/>
          <w:szCs w:val="24"/>
          <w:lang w:eastAsia="hr-HR"/>
        </w:rPr>
        <w:t>Kod naknade za trošak dječjeg vrtića predlaže se odobravanje besplatnog vrtića u punom iznosu djeci s invaliditetom koji su korisnici 1., 2. ili 3. razine potpore inkluzivnog dodatka.</w:t>
      </w:r>
    </w:p>
    <w:p w14:paraId="13A115EA" w14:textId="77777777" w:rsidR="002E090A" w:rsidRPr="002E090A" w:rsidRDefault="002E090A" w:rsidP="002E090A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090A">
        <w:rPr>
          <w:rFonts w:eastAsia="Times New Roman" w:cstheme="minorHAnsi"/>
          <w:sz w:val="24"/>
          <w:szCs w:val="24"/>
          <w:lang w:eastAsia="hr-HR"/>
        </w:rPr>
        <w:t>Naknada za besplatan prijevoz osobama s invaliditetom trebala bi se uskladiti sa Zakonom o otocima koji isto odobravaju na otoku, a odnosi se na osobu s invaliditetom i za njihovu neophodnu pratnju. Ovom Odlukom odobrava se besplatan prijevoz van otoka Krka, u svrhu korištenja zdravstvenih, terapijskih ili edukacijskih usluga u svrhu poboljšanja zdravstvenog stanja.</w:t>
      </w:r>
    </w:p>
    <w:p w14:paraId="25D27DC3" w14:textId="77777777" w:rsidR="002E090A" w:rsidRPr="002E090A" w:rsidRDefault="002E090A" w:rsidP="002E090A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090A">
        <w:rPr>
          <w:rFonts w:eastAsia="Times New Roman" w:cstheme="minorHAnsi"/>
          <w:bCs/>
          <w:iCs/>
          <w:sz w:val="24"/>
          <w:szCs w:val="24"/>
          <w:lang w:eastAsia="hr-HR"/>
        </w:rPr>
        <w:t>Pravo na naknadu za nabavu opreme novorođenčeta usklađeno je radi promjene valute kako slijedi:</w:t>
      </w:r>
    </w:p>
    <w:tbl>
      <w:tblPr>
        <w:tblW w:w="9852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2552"/>
        <w:gridCol w:w="2551"/>
        <w:gridCol w:w="2551"/>
      </w:tblGrid>
      <w:tr w:rsidR="002E090A" w:rsidRPr="002E090A" w14:paraId="7B5FA67C" w14:textId="77777777" w:rsidTr="00EB0B57">
        <w:trPr>
          <w:trHeight w:val="300"/>
          <w:jc w:val="center"/>
        </w:trPr>
        <w:tc>
          <w:tcPr>
            <w:tcW w:w="2198" w:type="dxa"/>
            <w:shd w:val="clear" w:color="auto" w:fill="auto"/>
            <w:noWrap/>
          </w:tcPr>
          <w:p w14:paraId="172F6DD2" w14:textId="77777777" w:rsidR="002E090A" w:rsidRPr="002E090A" w:rsidRDefault="002E090A" w:rsidP="002E09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shd w:val="clear" w:color="auto" w:fill="auto"/>
            <w:noWrap/>
          </w:tcPr>
          <w:p w14:paraId="1194CBD0" w14:textId="77777777" w:rsidR="002E090A" w:rsidRPr="002E090A" w:rsidRDefault="002E090A" w:rsidP="002E09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090A">
              <w:rPr>
                <w:rFonts w:eastAsia="Times New Roman" w:cstheme="minorHAnsi"/>
                <w:sz w:val="24"/>
                <w:szCs w:val="24"/>
                <w:lang w:eastAsia="hr-HR"/>
              </w:rPr>
              <w:t>Dosadašnji iznos u HRK</w:t>
            </w:r>
          </w:p>
        </w:tc>
        <w:tc>
          <w:tcPr>
            <w:tcW w:w="2551" w:type="dxa"/>
            <w:shd w:val="clear" w:color="auto" w:fill="auto"/>
            <w:noWrap/>
          </w:tcPr>
          <w:p w14:paraId="145B98B9" w14:textId="77777777" w:rsidR="002E090A" w:rsidRPr="002E090A" w:rsidRDefault="002E090A" w:rsidP="002E09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090A">
              <w:rPr>
                <w:rFonts w:eastAsia="Times New Roman" w:cstheme="minorHAnsi"/>
                <w:sz w:val="24"/>
                <w:szCs w:val="24"/>
                <w:lang w:eastAsia="hr-HR"/>
              </w:rPr>
              <w:t>Dosadašnji iznos u EUR</w:t>
            </w:r>
          </w:p>
        </w:tc>
        <w:tc>
          <w:tcPr>
            <w:tcW w:w="2551" w:type="dxa"/>
            <w:shd w:val="clear" w:color="auto" w:fill="auto"/>
          </w:tcPr>
          <w:p w14:paraId="18FEA07D" w14:textId="77777777" w:rsidR="002E090A" w:rsidRPr="002E090A" w:rsidRDefault="002E090A" w:rsidP="002E09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090A">
              <w:rPr>
                <w:rFonts w:eastAsia="Times New Roman" w:cstheme="minorHAnsi"/>
                <w:sz w:val="24"/>
                <w:szCs w:val="24"/>
                <w:lang w:eastAsia="hr-HR"/>
              </w:rPr>
              <w:t>Prijedlog u EUR</w:t>
            </w:r>
          </w:p>
        </w:tc>
      </w:tr>
      <w:tr w:rsidR="002E090A" w:rsidRPr="002E090A" w14:paraId="1C2C94E4" w14:textId="77777777" w:rsidTr="00EB0B57">
        <w:trPr>
          <w:trHeight w:val="300"/>
          <w:jc w:val="center"/>
        </w:trPr>
        <w:tc>
          <w:tcPr>
            <w:tcW w:w="2198" w:type="dxa"/>
            <w:shd w:val="clear" w:color="auto" w:fill="auto"/>
            <w:noWrap/>
            <w:hideMark/>
          </w:tcPr>
          <w:p w14:paraId="1F82E367" w14:textId="77777777" w:rsidR="002E090A" w:rsidRPr="002E090A" w:rsidRDefault="002E090A" w:rsidP="002E09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090A">
              <w:rPr>
                <w:rFonts w:eastAsia="Times New Roman" w:cstheme="minorHAnsi"/>
                <w:sz w:val="24"/>
                <w:szCs w:val="24"/>
                <w:lang w:eastAsia="hr-HR"/>
              </w:rPr>
              <w:t>1. dijete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14:paraId="7B5A9FBC" w14:textId="77777777" w:rsidR="002E090A" w:rsidRPr="002E090A" w:rsidRDefault="002E090A" w:rsidP="002E09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090A">
              <w:rPr>
                <w:rFonts w:eastAsia="Times New Roman" w:cstheme="minorHAnsi"/>
                <w:sz w:val="24"/>
                <w:szCs w:val="24"/>
                <w:lang w:eastAsia="hr-HR"/>
              </w:rPr>
              <w:t>4.000,00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5EAEEDC6" w14:textId="77777777" w:rsidR="002E090A" w:rsidRPr="002E090A" w:rsidRDefault="002E090A" w:rsidP="002E09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090A">
              <w:rPr>
                <w:rFonts w:eastAsia="Times New Roman" w:cstheme="minorHAnsi"/>
                <w:sz w:val="24"/>
                <w:szCs w:val="24"/>
                <w:lang w:eastAsia="hr-HR"/>
              </w:rPr>
              <w:t>530,89</w:t>
            </w:r>
          </w:p>
        </w:tc>
        <w:tc>
          <w:tcPr>
            <w:tcW w:w="2551" w:type="dxa"/>
            <w:shd w:val="clear" w:color="auto" w:fill="auto"/>
          </w:tcPr>
          <w:p w14:paraId="77E4B625" w14:textId="77777777" w:rsidR="002E090A" w:rsidRPr="002E090A" w:rsidRDefault="002E090A" w:rsidP="002E09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090A">
              <w:rPr>
                <w:rFonts w:eastAsia="Times New Roman" w:cstheme="minorHAnsi"/>
                <w:sz w:val="24"/>
                <w:szCs w:val="24"/>
                <w:lang w:eastAsia="hr-HR"/>
              </w:rPr>
              <w:t>600,00</w:t>
            </w:r>
          </w:p>
        </w:tc>
      </w:tr>
      <w:tr w:rsidR="002E090A" w:rsidRPr="002E090A" w14:paraId="05984C33" w14:textId="77777777" w:rsidTr="00EB0B57">
        <w:trPr>
          <w:trHeight w:val="300"/>
          <w:jc w:val="center"/>
        </w:trPr>
        <w:tc>
          <w:tcPr>
            <w:tcW w:w="2198" w:type="dxa"/>
            <w:shd w:val="clear" w:color="auto" w:fill="auto"/>
            <w:noWrap/>
            <w:hideMark/>
          </w:tcPr>
          <w:p w14:paraId="7558B495" w14:textId="77777777" w:rsidR="002E090A" w:rsidRPr="002E090A" w:rsidRDefault="002E090A" w:rsidP="002E09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090A">
              <w:rPr>
                <w:rFonts w:eastAsia="Times New Roman" w:cstheme="minorHAnsi"/>
                <w:sz w:val="24"/>
                <w:szCs w:val="24"/>
                <w:lang w:eastAsia="hr-HR"/>
              </w:rPr>
              <w:t>2. dijete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14:paraId="6714BC73" w14:textId="77777777" w:rsidR="002E090A" w:rsidRPr="002E090A" w:rsidRDefault="002E090A" w:rsidP="002E09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090A">
              <w:rPr>
                <w:rFonts w:eastAsia="Times New Roman" w:cstheme="minorHAnsi"/>
                <w:sz w:val="24"/>
                <w:szCs w:val="24"/>
                <w:lang w:eastAsia="hr-HR"/>
              </w:rPr>
              <w:t>7.000,00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218E7F97" w14:textId="77777777" w:rsidR="002E090A" w:rsidRPr="002E090A" w:rsidRDefault="002E090A" w:rsidP="002E09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090A">
              <w:rPr>
                <w:rFonts w:eastAsia="Times New Roman" w:cstheme="minorHAnsi"/>
                <w:sz w:val="24"/>
                <w:szCs w:val="24"/>
                <w:lang w:eastAsia="hr-HR"/>
              </w:rPr>
              <w:t>929,06</w:t>
            </w:r>
          </w:p>
        </w:tc>
        <w:tc>
          <w:tcPr>
            <w:tcW w:w="2551" w:type="dxa"/>
            <w:shd w:val="clear" w:color="auto" w:fill="auto"/>
          </w:tcPr>
          <w:p w14:paraId="72C18856" w14:textId="77777777" w:rsidR="002E090A" w:rsidRPr="002E090A" w:rsidRDefault="002E090A" w:rsidP="002E09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090A">
              <w:rPr>
                <w:rFonts w:eastAsia="Times New Roman" w:cstheme="minorHAnsi"/>
                <w:sz w:val="24"/>
                <w:szCs w:val="24"/>
                <w:lang w:eastAsia="hr-HR"/>
              </w:rPr>
              <w:t>1.000,00</w:t>
            </w:r>
          </w:p>
        </w:tc>
      </w:tr>
      <w:tr w:rsidR="002E090A" w:rsidRPr="002E090A" w14:paraId="76DFD9D9" w14:textId="77777777" w:rsidTr="00EB0B57">
        <w:trPr>
          <w:trHeight w:val="300"/>
          <w:jc w:val="center"/>
        </w:trPr>
        <w:tc>
          <w:tcPr>
            <w:tcW w:w="2198" w:type="dxa"/>
            <w:shd w:val="clear" w:color="auto" w:fill="auto"/>
            <w:noWrap/>
            <w:hideMark/>
          </w:tcPr>
          <w:p w14:paraId="3EAFE4DE" w14:textId="77777777" w:rsidR="002E090A" w:rsidRPr="002E090A" w:rsidRDefault="002E090A" w:rsidP="002E09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090A">
              <w:rPr>
                <w:rFonts w:eastAsia="Times New Roman" w:cstheme="minorHAnsi"/>
                <w:sz w:val="24"/>
                <w:szCs w:val="24"/>
                <w:lang w:eastAsia="hr-HR"/>
              </w:rPr>
              <w:t>3. dijete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14:paraId="7CEBF628" w14:textId="77777777" w:rsidR="002E090A" w:rsidRPr="002E090A" w:rsidRDefault="002E090A" w:rsidP="002E09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090A">
              <w:rPr>
                <w:rFonts w:eastAsia="Times New Roman" w:cstheme="minorHAnsi"/>
                <w:sz w:val="24"/>
                <w:szCs w:val="24"/>
                <w:lang w:eastAsia="hr-HR"/>
              </w:rPr>
              <w:t>12.000,00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034F50C0" w14:textId="77777777" w:rsidR="002E090A" w:rsidRPr="002E090A" w:rsidRDefault="002E090A" w:rsidP="002E09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090A">
              <w:rPr>
                <w:rFonts w:eastAsia="Times New Roman" w:cstheme="minorHAnsi"/>
                <w:sz w:val="24"/>
                <w:szCs w:val="24"/>
                <w:lang w:eastAsia="hr-HR"/>
              </w:rPr>
              <w:t>1.592,67</w:t>
            </w:r>
          </w:p>
        </w:tc>
        <w:tc>
          <w:tcPr>
            <w:tcW w:w="2551" w:type="dxa"/>
            <w:shd w:val="clear" w:color="auto" w:fill="auto"/>
          </w:tcPr>
          <w:p w14:paraId="14D97EBD" w14:textId="77777777" w:rsidR="002E090A" w:rsidRPr="002E090A" w:rsidRDefault="002E090A" w:rsidP="002E09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090A">
              <w:rPr>
                <w:rFonts w:eastAsia="Times New Roman" w:cstheme="minorHAnsi"/>
                <w:sz w:val="24"/>
                <w:szCs w:val="24"/>
                <w:lang w:eastAsia="hr-HR"/>
              </w:rPr>
              <w:t>1.600,00</w:t>
            </w:r>
          </w:p>
        </w:tc>
      </w:tr>
      <w:tr w:rsidR="002E090A" w:rsidRPr="002E090A" w14:paraId="1B3BBFA5" w14:textId="77777777" w:rsidTr="00EB0B57">
        <w:trPr>
          <w:trHeight w:val="300"/>
          <w:jc w:val="center"/>
        </w:trPr>
        <w:tc>
          <w:tcPr>
            <w:tcW w:w="2198" w:type="dxa"/>
            <w:shd w:val="clear" w:color="auto" w:fill="auto"/>
            <w:noWrap/>
            <w:hideMark/>
          </w:tcPr>
          <w:p w14:paraId="04B54BBA" w14:textId="77777777" w:rsidR="002E090A" w:rsidRPr="002E090A" w:rsidRDefault="002E090A" w:rsidP="002E09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090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4. dijete 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14:paraId="3A26D5A5" w14:textId="77777777" w:rsidR="002E090A" w:rsidRPr="002E090A" w:rsidRDefault="002E090A" w:rsidP="002E09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090A">
              <w:rPr>
                <w:rFonts w:eastAsia="Times New Roman" w:cstheme="minorHAnsi"/>
                <w:sz w:val="24"/>
                <w:szCs w:val="24"/>
                <w:lang w:eastAsia="hr-HR"/>
              </w:rPr>
              <w:t>18.000,00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7EDEE1D2" w14:textId="77777777" w:rsidR="002E090A" w:rsidRPr="002E090A" w:rsidRDefault="002E090A" w:rsidP="002E09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090A">
              <w:rPr>
                <w:rFonts w:eastAsia="Times New Roman" w:cstheme="minorHAnsi"/>
                <w:sz w:val="24"/>
                <w:szCs w:val="24"/>
                <w:lang w:eastAsia="hr-HR"/>
              </w:rPr>
              <w:t>2.389,01</w:t>
            </w:r>
          </w:p>
        </w:tc>
        <w:tc>
          <w:tcPr>
            <w:tcW w:w="2551" w:type="dxa"/>
            <w:shd w:val="clear" w:color="auto" w:fill="auto"/>
          </w:tcPr>
          <w:p w14:paraId="478A2F0C" w14:textId="77777777" w:rsidR="002E090A" w:rsidRPr="002E090A" w:rsidRDefault="002E090A" w:rsidP="002E09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090A">
              <w:rPr>
                <w:rFonts w:eastAsia="Times New Roman" w:cstheme="minorHAnsi"/>
                <w:sz w:val="24"/>
                <w:szCs w:val="24"/>
                <w:lang w:eastAsia="hr-HR"/>
              </w:rPr>
              <w:t>2.400,00</w:t>
            </w:r>
          </w:p>
        </w:tc>
      </w:tr>
      <w:tr w:rsidR="002E090A" w:rsidRPr="002E090A" w14:paraId="15AC572D" w14:textId="77777777" w:rsidTr="00EB0B57">
        <w:trPr>
          <w:trHeight w:val="300"/>
          <w:jc w:val="center"/>
        </w:trPr>
        <w:tc>
          <w:tcPr>
            <w:tcW w:w="2198" w:type="dxa"/>
            <w:shd w:val="clear" w:color="auto" w:fill="auto"/>
            <w:noWrap/>
            <w:hideMark/>
          </w:tcPr>
          <w:p w14:paraId="5E33E013" w14:textId="77777777" w:rsidR="002E090A" w:rsidRPr="002E090A" w:rsidRDefault="002E090A" w:rsidP="002E09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090A">
              <w:rPr>
                <w:rFonts w:eastAsia="Times New Roman" w:cstheme="minorHAnsi"/>
                <w:sz w:val="24"/>
                <w:szCs w:val="24"/>
                <w:lang w:eastAsia="hr-HR"/>
              </w:rPr>
              <w:t>5. dijete i svako iduće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14:paraId="07282F85" w14:textId="77777777" w:rsidR="002E090A" w:rsidRPr="002E090A" w:rsidRDefault="002E090A" w:rsidP="002E09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090A">
              <w:rPr>
                <w:rFonts w:eastAsia="Times New Roman" w:cstheme="minorHAnsi"/>
                <w:sz w:val="24"/>
                <w:szCs w:val="24"/>
                <w:lang w:eastAsia="hr-HR"/>
              </w:rPr>
              <w:t>25.000,00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2BB3A309" w14:textId="77777777" w:rsidR="002E090A" w:rsidRPr="002E090A" w:rsidRDefault="002E090A" w:rsidP="002E09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090A">
              <w:rPr>
                <w:rFonts w:eastAsia="Times New Roman" w:cstheme="minorHAnsi"/>
                <w:sz w:val="24"/>
                <w:szCs w:val="24"/>
                <w:lang w:eastAsia="hr-HR"/>
              </w:rPr>
              <w:t>3.318,07</w:t>
            </w:r>
          </w:p>
        </w:tc>
        <w:tc>
          <w:tcPr>
            <w:tcW w:w="2551" w:type="dxa"/>
            <w:shd w:val="clear" w:color="auto" w:fill="auto"/>
          </w:tcPr>
          <w:p w14:paraId="25826012" w14:textId="77777777" w:rsidR="002E090A" w:rsidRPr="002E090A" w:rsidRDefault="002E090A" w:rsidP="002E09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090A">
              <w:rPr>
                <w:rFonts w:eastAsia="Times New Roman" w:cstheme="minorHAnsi"/>
                <w:sz w:val="24"/>
                <w:szCs w:val="24"/>
                <w:lang w:eastAsia="hr-HR"/>
              </w:rPr>
              <w:t>3.300,00</w:t>
            </w:r>
          </w:p>
        </w:tc>
      </w:tr>
    </w:tbl>
    <w:p w14:paraId="0F991B83" w14:textId="77777777" w:rsidR="002E090A" w:rsidRPr="002E090A" w:rsidRDefault="002E090A" w:rsidP="002E090A">
      <w:pPr>
        <w:suppressAutoHyphens/>
        <w:spacing w:after="240"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FC132F9" w14:textId="77777777" w:rsidR="002E090A" w:rsidRPr="002E090A" w:rsidRDefault="002E090A" w:rsidP="002E090A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090A">
        <w:rPr>
          <w:rFonts w:eastAsia="Times New Roman" w:cstheme="minorHAnsi"/>
          <w:sz w:val="24"/>
          <w:szCs w:val="24"/>
          <w:lang w:eastAsia="hr-HR"/>
        </w:rPr>
        <w:t>Pravo na naknadu za djecu s teškoćama i osobe s invaliditetom usklađuje se sa Zakonom za inkluzivni dodatak na sljedeći način:</w:t>
      </w:r>
    </w:p>
    <w:p w14:paraId="31CD781D" w14:textId="77777777" w:rsidR="002E090A" w:rsidRPr="002E090A" w:rsidRDefault="002E090A" w:rsidP="002E090A">
      <w:pPr>
        <w:numPr>
          <w:ilvl w:val="0"/>
          <w:numId w:val="4"/>
        </w:numPr>
        <w:suppressAutoHyphens/>
        <w:spacing w:after="0"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090A">
        <w:rPr>
          <w:rFonts w:eastAsia="Times New Roman" w:cstheme="minorHAnsi"/>
          <w:sz w:val="24"/>
          <w:szCs w:val="24"/>
          <w:lang w:eastAsia="hr-HR"/>
        </w:rPr>
        <w:t>Korisnici 1. i 2. razine potpore inkluzivnog dodatka ostvaruju 130,00 EUR mjesečno</w:t>
      </w:r>
    </w:p>
    <w:p w14:paraId="3285BB8A" w14:textId="77777777" w:rsidR="002E090A" w:rsidRPr="002E090A" w:rsidRDefault="002E090A" w:rsidP="002E090A">
      <w:pPr>
        <w:numPr>
          <w:ilvl w:val="0"/>
          <w:numId w:val="4"/>
        </w:numPr>
        <w:suppressAutoHyphens/>
        <w:spacing w:after="240"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090A">
        <w:rPr>
          <w:rFonts w:eastAsia="Times New Roman" w:cstheme="minorHAnsi"/>
          <w:sz w:val="24"/>
          <w:szCs w:val="24"/>
          <w:lang w:eastAsia="hr-HR"/>
        </w:rPr>
        <w:t>Korisnici 3. i 4. razine ostvaruju 80,00 EUR mjesečno</w:t>
      </w:r>
    </w:p>
    <w:p w14:paraId="4F787027" w14:textId="77777777" w:rsidR="002E090A" w:rsidRPr="002E090A" w:rsidRDefault="002E090A" w:rsidP="002E090A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090A">
        <w:rPr>
          <w:rFonts w:eastAsia="Times New Roman" w:cstheme="minorHAnsi"/>
          <w:sz w:val="24"/>
          <w:szCs w:val="24"/>
          <w:lang w:eastAsia="hr-HR"/>
        </w:rPr>
        <w:t xml:space="preserve">Pravo na naknadu za podmirenje troškova pomoći i njege u kući preoblikovano je u Pravo na naknadu za podmirenje troškova socijalnih usluga. Naime, Zakon je uveo čitav niz novih socijalnih usluga (osim pomoći u kući koja je ostala od ranije) te se ovim oblikom pomoći želi osigurati </w:t>
      </w:r>
      <w:proofErr w:type="spellStart"/>
      <w:r w:rsidRPr="002E090A">
        <w:rPr>
          <w:rFonts w:eastAsia="Times New Roman" w:cstheme="minorHAnsi"/>
          <w:sz w:val="24"/>
          <w:szCs w:val="24"/>
          <w:lang w:eastAsia="hr-HR"/>
        </w:rPr>
        <w:t>nadstandard</w:t>
      </w:r>
      <w:proofErr w:type="spellEnd"/>
      <w:r w:rsidRPr="002E090A">
        <w:rPr>
          <w:rFonts w:eastAsia="Times New Roman" w:cstheme="minorHAnsi"/>
          <w:sz w:val="24"/>
          <w:szCs w:val="24"/>
          <w:lang w:eastAsia="hr-HR"/>
        </w:rPr>
        <w:t xml:space="preserve"> nad pravom koje svojim rješenjem odobrava Zavod. Primjerice, ako osoba prelazi prihodovni državni cenzus, a udovoljava općinskom, određeni oblik usluge može se odobriti iz Općinskog proračuna, npr. topli obrok ili sl. </w:t>
      </w:r>
    </w:p>
    <w:p w14:paraId="5A736BE5" w14:textId="77777777" w:rsidR="002E090A" w:rsidRPr="002E090A" w:rsidRDefault="002E090A" w:rsidP="002E090A">
      <w:pPr>
        <w:spacing w:after="240" w:line="276" w:lineRule="auto"/>
        <w:ind w:left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090A">
        <w:rPr>
          <w:rFonts w:eastAsia="Times New Roman" w:cstheme="minorHAnsi"/>
          <w:sz w:val="24"/>
          <w:szCs w:val="24"/>
          <w:lang w:eastAsia="hr-HR"/>
        </w:rPr>
        <w:t>U ovom obliku pomoći sadržano je i pravo koje je ranije bilo posebno izdvojeno: Pravo na naknadu za podmirenje troškova smještaja u psihijatrijskoj ustanovi i u ustanovama socijalne skrbi.</w:t>
      </w:r>
    </w:p>
    <w:p w14:paraId="18FF2755" w14:textId="77777777" w:rsidR="002E090A" w:rsidRPr="002E090A" w:rsidRDefault="002E090A" w:rsidP="002E090A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090A">
        <w:rPr>
          <w:rFonts w:eastAsia="Times New Roman" w:cstheme="minorHAnsi"/>
          <w:sz w:val="24"/>
          <w:szCs w:val="24"/>
          <w:lang w:eastAsia="hr-HR"/>
        </w:rPr>
        <w:t xml:space="preserve"> Kod propisivanja postupanja nadodana je mogućnost potpisivanja izjave kojom korisnik odobrava/ovlašćuje Općinu da u njegovo ime od drugih službi potražuje podatke relevantne u ispitnom postupku (npr. stanje računa u banci ili sl.)</w:t>
      </w:r>
    </w:p>
    <w:p w14:paraId="0F949404" w14:textId="77777777" w:rsidR="002E090A" w:rsidRPr="002E090A" w:rsidRDefault="002E090A" w:rsidP="002E090A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090A">
        <w:rPr>
          <w:rFonts w:eastAsia="Times New Roman" w:cstheme="minorHAnsi"/>
          <w:sz w:val="24"/>
          <w:szCs w:val="24"/>
          <w:lang w:eastAsia="hr-HR"/>
        </w:rPr>
        <w:t>U članku 56. potrebno je uvesti obvezu naknade štete i povrat sredstava ako korisnik ne javi pravovremeno promjene koje utječu na daljnje ostvarivanje prava.</w:t>
      </w:r>
    </w:p>
    <w:p w14:paraId="6E38E4AB" w14:textId="77777777" w:rsidR="00A00F74" w:rsidRPr="002E090A" w:rsidRDefault="00A00F74" w:rsidP="00A00F74">
      <w:pPr>
        <w:spacing w:before="240" w:line="256" w:lineRule="auto"/>
        <w:ind w:firstLine="708"/>
        <w:jc w:val="both"/>
        <w:rPr>
          <w:rFonts w:cstheme="minorHAnsi"/>
          <w:i/>
          <w:iCs/>
          <w:noProof/>
          <w:sz w:val="24"/>
          <w:szCs w:val="24"/>
        </w:rPr>
      </w:pPr>
    </w:p>
    <w:p w14:paraId="0E06D55F" w14:textId="5901A927" w:rsidR="00B439E5" w:rsidRPr="002E090A" w:rsidRDefault="008E3E26" w:rsidP="005F5D0C">
      <w:pPr>
        <w:ind w:left="6372"/>
        <w:jc w:val="center"/>
        <w:rPr>
          <w:rFonts w:cstheme="minorHAnsi"/>
          <w:sz w:val="24"/>
          <w:szCs w:val="24"/>
        </w:rPr>
      </w:pPr>
      <w:r w:rsidRPr="002E090A">
        <w:rPr>
          <w:rFonts w:cstheme="minorHAnsi"/>
          <w:sz w:val="24"/>
          <w:szCs w:val="24"/>
        </w:rPr>
        <w:t>PROČELNIK</w:t>
      </w:r>
    </w:p>
    <w:p w14:paraId="593E2B1A" w14:textId="0151F2C2" w:rsidR="006D4B54" w:rsidRPr="00210960" w:rsidRDefault="00992B76" w:rsidP="00223808">
      <w:pPr>
        <w:ind w:left="6372"/>
        <w:jc w:val="center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Neven Matuč</w:t>
      </w:r>
    </w:p>
    <w:sectPr w:rsidR="006D4B54" w:rsidRPr="00210960" w:rsidSect="00D532F1">
      <w:pgSz w:w="12240" w:h="15840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0C76"/>
    <w:multiLevelType w:val="hybridMultilevel"/>
    <w:tmpl w:val="4FF6E96C"/>
    <w:lvl w:ilvl="0" w:tplc="EDB62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E6007"/>
    <w:multiLevelType w:val="hybridMultilevel"/>
    <w:tmpl w:val="E022050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5031"/>
    <w:multiLevelType w:val="hybridMultilevel"/>
    <w:tmpl w:val="73A27A6E"/>
    <w:lvl w:ilvl="0" w:tplc="95C40A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56113"/>
    <w:multiLevelType w:val="hybridMultilevel"/>
    <w:tmpl w:val="CF2C7148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6413035">
    <w:abstractNumId w:val="0"/>
  </w:num>
  <w:num w:numId="2" w16cid:durableId="361829838">
    <w:abstractNumId w:val="2"/>
  </w:num>
  <w:num w:numId="3" w16cid:durableId="1034695170">
    <w:abstractNumId w:val="1"/>
  </w:num>
  <w:num w:numId="4" w16cid:durableId="603071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93"/>
    <w:rsid w:val="000225CD"/>
    <w:rsid w:val="000536A9"/>
    <w:rsid w:val="000B5929"/>
    <w:rsid w:val="00111DBC"/>
    <w:rsid w:val="00191F1E"/>
    <w:rsid w:val="001A5EEF"/>
    <w:rsid w:val="001B4880"/>
    <w:rsid w:val="00210960"/>
    <w:rsid w:val="00223808"/>
    <w:rsid w:val="00251B65"/>
    <w:rsid w:val="00261705"/>
    <w:rsid w:val="00276305"/>
    <w:rsid w:val="002768EF"/>
    <w:rsid w:val="002C6180"/>
    <w:rsid w:val="002E090A"/>
    <w:rsid w:val="002F34F0"/>
    <w:rsid w:val="0035131D"/>
    <w:rsid w:val="003518D4"/>
    <w:rsid w:val="004138C2"/>
    <w:rsid w:val="00470CAD"/>
    <w:rsid w:val="004B4856"/>
    <w:rsid w:val="00502168"/>
    <w:rsid w:val="0051400E"/>
    <w:rsid w:val="00522B68"/>
    <w:rsid w:val="005D0F2B"/>
    <w:rsid w:val="005F5D0C"/>
    <w:rsid w:val="00640267"/>
    <w:rsid w:val="00656719"/>
    <w:rsid w:val="006C5D3F"/>
    <w:rsid w:val="006D4B54"/>
    <w:rsid w:val="00775734"/>
    <w:rsid w:val="007C2195"/>
    <w:rsid w:val="008420C6"/>
    <w:rsid w:val="00856830"/>
    <w:rsid w:val="00857B82"/>
    <w:rsid w:val="008A38B6"/>
    <w:rsid w:val="008E3E26"/>
    <w:rsid w:val="0091573D"/>
    <w:rsid w:val="00992B76"/>
    <w:rsid w:val="009F5143"/>
    <w:rsid w:val="00A00F74"/>
    <w:rsid w:val="00A0786B"/>
    <w:rsid w:val="00A73D3A"/>
    <w:rsid w:val="00B17BA5"/>
    <w:rsid w:val="00B439E5"/>
    <w:rsid w:val="00B71656"/>
    <w:rsid w:val="00B81FCD"/>
    <w:rsid w:val="00BC7808"/>
    <w:rsid w:val="00C3380F"/>
    <w:rsid w:val="00C7795C"/>
    <w:rsid w:val="00CB5279"/>
    <w:rsid w:val="00CD3B32"/>
    <w:rsid w:val="00D03556"/>
    <w:rsid w:val="00D532F1"/>
    <w:rsid w:val="00D80087"/>
    <w:rsid w:val="00D83C81"/>
    <w:rsid w:val="00E25A93"/>
    <w:rsid w:val="00E30157"/>
    <w:rsid w:val="00E74ED0"/>
    <w:rsid w:val="00FA5BD5"/>
    <w:rsid w:val="00FD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B1F9"/>
  <w15:chartTrackingRefBased/>
  <w15:docId w15:val="{017881D9-F731-43E4-9C5F-4D3BB638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9"/>
    <w:qFormat/>
    <w:rsid w:val="00B71656"/>
    <w:pPr>
      <w:keepNext/>
      <w:spacing w:after="0" w:line="240" w:lineRule="auto"/>
      <w:outlineLvl w:val="2"/>
    </w:pPr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9"/>
    <w:rsid w:val="00B71656"/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styleId="Hiperveza">
    <w:name w:val="Hyperlink"/>
    <w:basedOn w:val="Zadanifontodlomka"/>
    <w:uiPriority w:val="99"/>
    <w:unhideWhenUsed/>
    <w:rsid w:val="00191F1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1F1E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3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6A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76305"/>
    <w:pPr>
      <w:spacing w:line="256" w:lineRule="auto"/>
      <w:ind w:left="720"/>
      <w:contextualSpacing/>
    </w:pPr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mailto:procelnik@malin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Bernard\Desktop\JNP-kretanj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>
                <a:solidFill>
                  <a:sysClr val="windowText" lastClr="000000"/>
                </a:solidFill>
                <a:latin typeface="Aptos" panose="020B0004020202020204" pitchFamily="34" charset="0"/>
              </a:rPr>
              <a:t>Kretanje cijene komunalne naknade</a:t>
            </a:r>
            <a:endParaRPr lang="hr-HR" i="1">
              <a:solidFill>
                <a:sysClr val="windowText" lastClr="000000"/>
              </a:solidFill>
              <a:latin typeface="Aptos Narrow" panose="020B0004020202020204" pitchFamily="34" charset="0"/>
            </a:endParaRPr>
          </a:p>
          <a:p>
            <a:pPr>
              <a:defRPr/>
            </a:pPr>
            <a:r>
              <a:rPr lang="hr-HR" i="1">
                <a:solidFill>
                  <a:sysClr val="windowText" lastClr="000000"/>
                </a:solidFill>
                <a:latin typeface="Aptos Narrow" panose="020B0004020202020204" pitchFamily="34" charset="0"/>
              </a:rPr>
              <a:t>(objekt</a:t>
            </a:r>
            <a:r>
              <a:rPr lang="hr-HR" i="1" baseline="0">
                <a:solidFill>
                  <a:sysClr val="windowText" lastClr="000000"/>
                </a:solidFill>
                <a:latin typeface="Aptos Narrow" panose="020B0004020202020204" pitchFamily="34" charset="0"/>
              </a:rPr>
              <a:t> od 100 m2 u prvoj zoni)</a:t>
            </a:r>
            <a:endParaRPr lang="hr-HR" i="1">
              <a:solidFill>
                <a:sysClr val="windowText" lastClr="000000"/>
              </a:solidFill>
              <a:latin typeface="Aptos Narrow" panose="020B00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v>JNP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List1!$B$3:$B$20</c:f>
              <c:strCache>
                <c:ptCount val="18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  <c:pt idx="16">
                  <c:v>2023</c:v>
                </c:pt>
                <c:pt idx="17">
                  <c:v>2024</c:v>
                </c:pt>
              </c:strCache>
            </c:strRef>
          </c:cat>
          <c:val>
            <c:numRef>
              <c:f>List1!$N$3:$N$20</c:f>
              <c:numCache>
                <c:formatCode>_-* #,##0.00\ [$€-1]_-;\-* #,##0.00\ [$€-1]_-;_-* "-"??\ [$€-1]_-;_-@_-</c:formatCode>
                <c:ptCount val="18"/>
                <c:pt idx="0">
                  <c:v>26.54456168292521</c:v>
                </c:pt>
                <c:pt idx="1">
                  <c:v>26.54456168292521</c:v>
                </c:pt>
                <c:pt idx="2">
                  <c:v>26.54456168292521</c:v>
                </c:pt>
                <c:pt idx="3">
                  <c:v>26.54456168292521</c:v>
                </c:pt>
                <c:pt idx="4">
                  <c:v>26.54456168292521</c:v>
                </c:pt>
                <c:pt idx="5">
                  <c:v>26.54456168292521</c:v>
                </c:pt>
                <c:pt idx="6">
                  <c:v>26.54456168292521</c:v>
                </c:pt>
                <c:pt idx="7">
                  <c:v>26.54456168292521</c:v>
                </c:pt>
                <c:pt idx="8">
                  <c:v>26.54456168292521</c:v>
                </c:pt>
                <c:pt idx="9">
                  <c:v>26.54456168292521</c:v>
                </c:pt>
                <c:pt idx="10">
                  <c:v>26.54456168292521</c:v>
                </c:pt>
                <c:pt idx="11">
                  <c:v>26.54456168292521</c:v>
                </c:pt>
                <c:pt idx="12">
                  <c:v>26.54456168292521</c:v>
                </c:pt>
                <c:pt idx="13">
                  <c:v>26.54456168292521</c:v>
                </c:pt>
                <c:pt idx="14">
                  <c:v>26.54456168292521</c:v>
                </c:pt>
                <c:pt idx="15">
                  <c:v>26.54456168292521</c:v>
                </c:pt>
                <c:pt idx="16">
                  <c:v>26.54456168292521</c:v>
                </c:pt>
                <c:pt idx="17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54-4224-9EBD-3E4B7B296ABD}"/>
            </c:ext>
          </c:extLst>
        </c:ser>
        <c:ser>
          <c:idx val="1"/>
          <c:order val="1"/>
          <c:tx>
            <c:v>Komunalna naknada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List1!$B$3:$B$20</c:f>
              <c:strCache>
                <c:ptCount val="18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  <c:pt idx="16">
                  <c:v>2023</c:v>
                </c:pt>
                <c:pt idx="17">
                  <c:v>2024</c:v>
                </c:pt>
              </c:strCache>
            </c:strRef>
          </c:cat>
          <c:val>
            <c:numRef>
              <c:f>List1!$R$3:$R$20</c:f>
              <c:numCache>
                <c:formatCode>_-* #,##0.00\ [$€-1]_-;\-* #,##0.00\ [$€-1]_-;_-* "-"??\ [$€-1]_-;_-@_-</c:formatCode>
                <c:ptCount val="18"/>
                <c:pt idx="0">
                  <c:v>6.901586037560552</c:v>
                </c:pt>
                <c:pt idx="1">
                  <c:v>6.901586037560552</c:v>
                </c:pt>
                <c:pt idx="2">
                  <c:v>6.901586037560552</c:v>
                </c:pt>
                <c:pt idx="3">
                  <c:v>6.901586037560552</c:v>
                </c:pt>
                <c:pt idx="4">
                  <c:v>23.146857787510786</c:v>
                </c:pt>
                <c:pt idx="5">
                  <c:v>23.146857787510786</c:v>
                </c:pt>
                <c:pt idx="6">
                  <c:v>23.146857787510786</c:v>
                </c:pt>
                <c:pt idx="7">
                  <c:v>23.146857787510786</c:v>
                </c:pt>
                <c:pt idx="8">
                  <c:v>23.146857787510786</c:v>
                </c:pt>
                <c:pt idx="9">
                  <c:v>23.146857787510786</c:v>
                </c:pt>
                <c:pt idx="10">
                  <c:v>23.146857787510786</c:v>
                </c:pt>
                <c:pt idx="11">
                  <c:v>23.146857787510786</c:v>
                </c:pt>
                <c:pt idx="12">
                  <c:v>28.13723538390072</c:v>
                </c:pt>
                <c:pt idx="13">
                  <c:v>28.13723538390072</c:v>
                </c:pt>
                <c:pt idx="14">
                  <c:v>28.13723538390072</c:v>
                </c:pt>
                <c:pt idx="15">
                  <c:v>28.13723538390072</c:v>
                </c:pt>
                <c:pt idx="16">
                  <c:v>33.455438317074794</c:v>
                </c:pt>
                <c:pt idx="17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54-4224-9EBD-3E4B7B296A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4550048"/>
        <c:axId val="114543568"/>
      </c:barChart>
      <c:catAx>
        <c:axId val="114550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ptos Narrow" panose="020B0004020202020204" pitchFamily="34" charset="0"/>
                <a:ea typeface="+mn-ea"/>
                <a:cs typeface="+mn-cs"/>
              </a:defRPr>
            </a:pPr>
            <a:endParaRPr lang="sr-Latn-RS"/>
          </a:p>
        </c:txPr>
        <c:crossAx val="114543568"/>
        <c:crosses val="autoZero"/>
        <c:auto val="1"/>
        <c:lblAlgn val="ctr"/>
        <c:lblOffset val="100"/>
        <c:noMultiLvlLbl val="0"/>
      </c:catAx>
      <c:valAx>
        <c:axId val="114543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.00\ [$€-1]_-;\-* #,##0.00\ [$€-1]_-;_-* &quot;-&quot;??\ [$€-1]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ptos Narrow" panose="020B0004020202020204" pitchFamily="34" charset="0"/>
                <a:ea typeface="+mn-ea"/>
                <a:cs typeface="+mn-cs"/>
              </a:defRPr>
            </a:pPr>
            <a:endParaRPr lang="sr-Latn-RS"/>
          </a:p>
        </c:txPr>
        <c:crossAx val="114550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ptos Narrow" panose="020B0004020202020204" pitchFamily="34" charset="0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1587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Neven Matuč</cp:lastModifiedBy>
  <cp:revision>3</cp:revision>
  <cp:lastPrinted>2024-02-01T16:36:00Z</cp:lastPrinted>
  <dcterms:created xsi:type="dcterms:W3CDTF">2024-02-01T16:34:00Z</dcterms:created>
  <dcterms:modified xsi:type="dcterms:W3CDTF">2024-02-01T16:36:00Z</dcterms:modified>
</cp:coreProperties>
</file>